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45358" w14:textId="7CB4CFEB" w:rsidR="00227BDB" w:rsidRPr="00150AFC" w:rsidRDefault="00A745E0" w:rsidP="003D3F21">
      <w:pPr>
        <w:pStyle w:val="En-tte"/>
        <w:tabs>
          <w:tab w:val="clear" w:pos="4536"/>
          <w:tab w:val="clear" w:pos="9072"/>
        </w:tabs>
        <w:ind w:left="-284"/>
        <w:rPr>
          <w:rFonts w:ascii="Open Sans" w:hAnsi="Open Sans" w:cs="Open Sans"/>
        </w:rPr>
      </w:pPr>
      <w:r w:rsidRPr="00150AFC">
        <w:rPr>
          <w:rFonts w:ascii="Open Sans" w:hAnsi="Open Sans" w:cs="Open Sans"/>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sidRPr="00150AFC">
        <w:rPr>
          <w:rFonts w:ascii="Open Sans" w:hAnsi="Open Sans" w:cs="Open Sans"/>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532E3959" w14:textId="17E5BF19" w:rsidR="00227BDB" w:rsidRPr="00150AFC" w:rsidRDefault="00227BDB">
      <w:pPr>
        <w:rPr>
          <w:rFonts w:ascii="Open Sans" w:hAnsi="Open Sans" w:cs="Open Sans"/>
        </w:rPr>
      </w:pPr>
    </w:p>
    <w:p w14:paraId="2F5AF821" w14:textId="7143A045" w:rsidR="00227BDB" w:rsidRPr="00150AFC" w:rsidRDefault="00227BDB">
      <w:pPr>
        <w:rPr>
          <w:rFonts w:ascii="Open Sans" w:hAnsi="Open Sans" w:cs="Open Sans"/>
        </w:rPr>
      </w:pPr>
    </w:p>
    <w:p w14:paraId="4FEDD9F0" w14:textId="378EF005" w:rsidR="00227BDB" w:rsidRPr="00150AFC" w:rsidRDefault="00227BDB">
      <w:pPr>
        <w:rPr>
          <w:rFonts w:ascii="Open Sans" w:hAnsi="Open Sans" w:cs="Open Sans"/>
        </w:rPr>
      </w:pPr>
    </w:p>
    <w:p w14:paraId="72CE9EC1" w14:textId="08995A10" w:rsidR="00227BDB" w:rsidRPr="00150AFC" w:rsidRDefault="00227BDB">
      <w:pPr>
        <w:rPr>
          <w:rFonts w:ascii="Open Sans" w:hAnsi="Open Sans" w:cs="Open Sans"/>
        </w:rPr>
      </w:pPr>
    </w:p>
    <w:p w14:paraId="7BAD58C2" w14:textId="00C9F240" w:rsidR="00227BDB" w:rsidRPr="00150AFC" w:rsidRDefault="00227BDB">
      <w:pPr>
        <w:rPr>
          <w:rFonts w:ascii="Open Sans" w:hAnsi="Open Sans" w:cs="Open Sans"/>
        </w:rPr>
      </w:pPr>
    </w:p>
    <w:p w14:paraId="4432F40D" w14:textId="019AB01C" w:rsidR="00227BDB" w:rsidRPr="00150AFC" w:rsidRDefault="003D3F21">
      <w:pPr>
        <w:rPr>
          <w:rFonts w:ascii="Open Sans" w:hAnsi="Open Sans" w:cs="Open Sans"/>
        </w:rPr>
      </w:pPr>
      <w:r w:rsidRPr="00150AFC">
        <w:rPr>
          <w:rFonts w:ascii="Open Sans" w:hAnsi="Open Sans" w:cs="Open Sans"/>
          <w:noProof/>
        </w:rPr>
        <mc:AlternateContent>
          <mc:Choice Requires="wps">
            <w:drawing>
              <wp:anchor distT="0" distB="0" distL="114300" distR="114300" simplePos="0" relativeHeight="251658752" behindDoc="0" locked="0" layoutInCell="1" allowOverlap="1" wp14:anchorId="6539A20A" wp14:editId="7A97B05B">
                <wp:simplePos x="0" y="0"/>
                <wp:positionH relativeFrom="column">
                  <wp:posOffset>-136525</wp:posOffset>
                </wp:positionH>
                <wp:positionV relativeFrom="paragraph">
                  <wp:posOffset>146376</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3D3F21" w:rsidRDefault="00751E7E" w:rsidP="003D3F21">
                            <w:pPr>
                              <w:jc w:val="left"/>
                              <w:rPr>
                                <w:rFonts w:ascii="Open Sans" w:hAnsi="Open Sans" w:cs="Open Sans"/>
                                <w:b/>
                              </w:rPr>
                            </w:pPr>
                            <w:r w:rsidRPr="003D3F21">
                              <w:rPr>
                                <w:rFonts w:ascii="Open Sans" w:hAnsi="Open Sans" w:cs="Open Sans"/>
                                <w:b/>
                              </w:rPr>
                              <w:t>ACHATS CENTRAUX</w:t>
                            </w:r>
                          </w:p>
                          <w:p w14:paraId="39D8FA5E" w14:textId="77777777" w:rsidR="000E4C95" w:rsidRPr="003D3F21" w:rsidRDefault="00751E7E" w:rsidP="003D3F21">
                            <w:pPr>
                              <w:jc w:val="left"/>
                              <w:rPr>
                                <w:rFonts w:ascii="Open Sans" w:hAnsi="Open Sans" w:cs="Open Sans"/>
                                <w:b/>
                              </w:rPr>
                            </w:pPr>
                            <w:r w:rsidRPr="003D3F21">
                              <w:rPr>
                                <w:rFonts w:ascii="Open Sans" w:hAnsi="Open Sans" w:cs="Open Sans"/>
                                <w:b/>
                              </w:rPr>
                              <w:t xml:space="preserve">HOTELIERS, ALIMENTAIRES </w:t>
                            </w:r>
                            <w:r w:rsidRPr="003D3F21">
                              <w:rPr>
                                <w:rFonts w:ascii="Open Sans" w:hAnsi="Open Sans" w:cs="Open Sans"/>
                                <w:b/>
                              </w:rPr>
                              <w:tab/>
                            </w:r>
                          </w:p>
                          <w:p w14:paraId="4DA1884D" w14:textId="412815CC" w:rsidR="00751E7E" w:rsidRPr="003D3F21" w:rsidRDefault="00751E7E" w:rsidP="003D3F21">
                            <w:pPr>
                              <w:jc w:val="left"/>
                              <w:rPr>
                                <w:rFonts w:ascii="Open Sans" w:hAnsi="Open Sans" w:cs="Open Sans"/>
                                <w:b/>
                              </w:rPr>
                            </w:pPr>
                            <w:r w:rsidRPr="003D3F21">
                              <w:rPr>
                                <w:rFonts w:ascii="Open Sans" w:hAnsi="Open Sans" w:cs="Open Sans"/>
                                <w:b/>
                              </w:rPr>
                              <w:t>ET TECHNOLOGIQUES</w:t>
                            </w:r>
                          </w:p>
                          <w:p w14:paraId="48F6DFE4" w14:textId="77777777" w:rsidR="00751E7E" w:rsidRPr="003D3F21" w:rsidRDefault="00751E7E" w:rsidP="003D3F21">
                            <w:pPr>
                              <w:jc w:val="left"/>
                              <w:rPr>
                                <w:rFonts w:ascii="Open Sans" w:hAnsi="Open Sans" w:cs="Open Sans"/>
                              </w:rPr>
                            </w:pPr>
                            <w:r w:rsidRPr="003D3F21">
                              <w:rPr>
                                <w:rFonts w:ascii="Open Sans" w:hAnsi="Open Sans" w:cs="Open Sans"/>
                              </w:rPr>
                              <w:t>Hôpital Bicêtre</w:t>
                            </w:r>
                          </w:p>
                          <w:p w14:paraId="41F81993" w14:textId="77777777" w:rsidR="00751E7E" w:rsidRPr="003D3F21" w:rsidRDefault="00751E7E" w:rsidP="003D3F21">
                            <w:pPr>
                              <w:jc w:val="left"/>
                              <w:rPr>
                                <w:rFonts w:ascii="Open Sans" w:hAnsi="Open Sans" w:cs="Open Sans"/>
                              </w:rPr>
                            </w:pPr>
                            <w:r w:rsidRPr="003D3F21">
                              <w:rPr>
                                <w:rFonts w:ascii="Open Sans" w:hAnsi="Open Sans" w:cs="Open Sans"/>
                              </w:rPr>
                              <w:t>78, rue du Général Leclerc</w:t>
                            </w:r>
                          </w:p>
                          <w:p w14:paraId="65F9FDE2" w14:textId="77777777" w:rsidR="00751E7E" w:rsidRPr="003D3F21" w:rsidRDefault="00751E7E" w:rsidP="003D3F21">
                            <w:pPr>
                              <w:jc w:val="left"/>
                              <w:rPr>
                                <w:rFonts w:ascii="Open Sans" w:hAnsi="Open Sans" w:cs="Open Sans"/>
                              </w:rPr>
                            </w:pPr>
                            <w:r w:rsidRPr="003D3F21">
                              <w:rPr>
                                <w:rFonts w:ascii="Open Sans" w:hAnsi="Open Sans" w:cs="Open Sans"/>
                              </w:rPr>
                              <w:t>94270 Le Kremlin Bicêtre</w:t>
                            </w:r>
                          </w:p>
                          <w:p w14:paraId="428DAD01" w14:textId="77777777" w:rsidR="00751E7E" w:rsidRPr="003D3F21" w:rsidRDefault="00751E7E" w:rsidP="003D3F21">
                            <w:pPr>
                              <w:jc w:val="left"/>
                              <w:rPr>
                                <w:rFonts w:ascii="Open Sans" w:hAnsi="Open Sans" w:cs="Open Sans"/>
                              </w:rPr>
                            </w:pPr>
                            <w:r w:rsidRPr="003D3F21">
                              <w:rPr>
                                <w:rFonts w:ascii="Open Sans" w:hAnsi="Open Sans" w:cs="Open Sans"/>
                              </w:rPr>
                              <w:t>Tél. : 01 53 14 69 00</w:t>
                            </w:r>
                          </w:p>
                          <w:p w14:paraId="5032DA67" w14:textId="63933660" w:rsidR="00751E7E" w:rsidRPr="000E4C95" w:rsidRDefault="006D42ED" w:rsidP="003D3F21">
                            <w:pPr>
                              <w:jc w:val="left"/>
                              <w:rPr>
                                <w:rFonts w:ascii="Montserrat" w:hAnsi="Montserrat" w:cs="Arial"/>
                              </w:rPr>
                            </w:pPr>
                            <w:r w:rsidRPr="003D3F21">
                              <w:rPr>
                                <w:rFonts w:ascii="Open Sans" w:hAnsi="Open Sans" w:cs="Open Sans"/>
                              </w:rPr>
                              <w:t xml:space="preserve">Fax : 01 </w:t>
                            </w:r>
                            <w:r w:rsidR="00EC294D" w:rsidRPr="003D3F21">
                              <w:rPr>
                                <w:rFonts w:ascii="Open Sans" w:hAnsi="Open Sans" w:cs="Open Sans"/>
                              </w:rPr>
                              <w:t>53</w:t>
                            </w:r>
                            <w:r w:rsidR="00751E7E" w:rsidRPr="003D3F21">
                              <w:rPr>
                                <w:rFonts w:ascii="Open Sans" w:hAnsi="Open Sans" w:cs="Open Sans"/>
                              </w:rPr>
                              <w:t xml:space="preserve"> 1</w:t>
                            </w:r>
                            <w:r w:rsidR="00EC294D" w:rsidRPr="003D3F21">
                              <w:rPr>
                                <w:rFonts w:ascii="Open Sans" w:hAnsi="Open Sans" w:cs="Open Sans"/>
                              </w:rPr>
                              <w:t>4</w:t>
                            </w:r>
                            <w:r w:rsidRPr="003D3F21">
                              <w:rPr>
                                <w:rFonts w:ascii="Open Sans" w:hAnsi="Open Sans" w:cs="Open Sans"/>
                              </w:rPr>
                              <w:t xml:space="preserve"> </w:t>
                            </w:r>
                            <w:r w:rsidR="00EC294D" w:rsidRPr="003D3F21">
                              <w:rPr>
                                <w:rFonts w:ascii="Open Sans" w:hAnsi="Open Sans" w:cs="Open Sans"/>
                              </w:rPr>
                              <w:t>69</w:t>
                            </w:r>
                            <w:r w:rsidRPr="003D3F21">
                              <w:rPr>
                                <w:rFonts w:ascii="Open Sans" w:hAnsi="Open Sans" w:cs="Open Sans"/>
                              </w:rPr>
                              <w:t xml:space="preserve"> </w:t>
                            </w:r>
                            <w:r w:rsidR="00EC294D" w:rsidRPr="003D3F21">
                              <w:rPr>
                                <w:rFonts w:ascii="Open Sans" w:hAnsi="Open Sans" w:cs="Open Sans"/>
                              </w:rPr>
                              <w:t>99</w:t>
                            </w:r>
                          </w:p>
                          <w:p w14:paraId="49F16F7E" w14:textId="77777777" w:rsidR="00751E7E" w:rsidRPr="002B272C" w:rsidRDefault="00751E7E" w:rsidP="00751E7E">
                            <w:pPr>
                              <w:rPr>
                                <w:rFonts w:ascii="Century Gothic" w:hAnsi="Century Gothic"/>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0.75pt;margin-top:11.55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" stroked="f">
                <v:textbox style="mso-fit-shape-to-text:t">
                  <w:txbxContent>
                    <w:p w14:paraId="2360A4DD" w14:textId="77777777" w:rsidR="00751E7E" w:rsidRPr="003D3F21" w:rsidRDefault="00751E7E" w:rsidP="003D3F21">
                      <w:pPr>
                        <w:jc w:val="left"/>
                        <w:rPr>
                          <w:rFonts w:ascii="Open Sans" w:hAnsi="Open Sans" w:cs="Open Sans"/>
                          <w:b/>
                        </w:rPr>
                      </w:pPr>
                      <w:r w:rsidRPr="003D3F21">
                        <w:rPr>
                          <w:rFonts w:ascii="Open Sans" w:hAnsi="Open Sans" w:cs="Open Sans"/>
                          <w:b/>
                        </w:rPr>
                        <w:t>ACHATS CENTRAUX</w:t>
                      </w:r>
                    </w:p>
                    <w:p w14:paraId="39D8FA5E" w14:textId="77777777" w:rsidR="000E4C95" w:rsidRPr="003D3F21" w:rsidRDefault="00751E7E" w:rsidP="003D3F21">
                      <w:pPr>
                        <w:jc w:val="left"/>
                        <w:rPr>
                          <w:rFonts w:ascii="Open Sans" w:hAnsi="Open Sans" w:cs="Open Sans"/>
                          <w:b/>
                        </w:rPr>
                      </w:pPr>
                      <w:r w:rsidRPr="003D3F21">
                        <w:rPr>
                          <w:rFonts w:ascii="Open Sans" w:hAnsi="Open Sans" w:cs="Open Sans"/>
                          <w:b/>
                        </w:rPr>
                        <w:t xml:space="preserve">HOTELIERS, ALIMENTAIRES </w:t>
                      </w:r>
                      <w:r w:rsidRPr="003D3F21">
                        <w:rPr>
                          <w:rFonts w:ascii="Open Sans" w:hAnsi="Open Sans" w:cs="Open Sans"/>
                          <w:b/>
                        </w:rPr>
                        <w:tab/>
                      </w:r>
                    </w:p>
                    <w:p w14:paraId="4DA1884D" w14:textId="412815CC" w:rsidR="00751E7E" w:rsidRPr="003D3F21" w:rsidRDefault="00751E7E" w:rsidP="003D3F21">
                      <w:pPr>
                        <w:jc w:val="left"/>
                        <w:rPr>
                          <w:rFonts w:ascii="Open Sans" w:hAnsi="Open Sans" w:cs="Open Sans"/>
                          <w:b/>
                        </w:rPr>
                      </w:pPr>
                      <w:r w:rsidRPr="003D3F21">
                        <w:rPr>
                          <w:rFonts w:ascii="Open Sans" w:hAnsi="Open Sans" w:cs="Open Sans"/>
                          <w:b/>
                        </w:rPr>
                        <w:t>ET TECHNOLOGIQUES</w:t>
                      </w:r>
                    </w:p>
                    <w:p w14:paraId="48F6DFE4" w14:textId="77777777" w:rsidR="00751E7E" w:rsidRPr="003D3F21" w:rsidRDefault="00751E7E" w:rsidP="003D3F21">
                      <w:pPr>
                        <w:jc w:val="left"/>
                        <w:rPr>
                          <w:rFonts w:ascii="Open Sans" w:hAnsi="Open Sans" w:cs="Open Sans"/>
                        </w:rPr>
                      </w:pPr>
                      <w:r w:rsidRPr="003D3F21">
                        <w:rPr>
                          <w:rFonts w:ascii="Open Sans" w:hAnsi="Open Sans" w:cs="Open Sans"/>
                        </w:rPr>
                        <w:t>Hôpital Bicêtre</w:t>
                      </w:r>
                    </w:p>
                    <w:p w14:paraId="41F81993" w14:textId="77777777" w:rsidR="00751E7E" w:rsidRPr="003D3F21" w:rsidRDefault="00751E7E" w:rsidP="003D3F21">
                      <w:pPr>
                        <w:jc w:val="left"/>
                        <w:rPr>
                          <w:rFonts w:ascii="Open Sans" w:hAnsi="Open Sans" w:cs="Open Sans"/>
                        </w:rPr>
                      </w:pPr>
                      <w:r w:rsidRPr="003D3F21">
                        <w:rPr>
                          <w:rFonts w:ascii="Open Sans" w:hAnsi="Open Sans" w:cs="Open Sans"/>
                        </w:rPr>
                        <w:t>78, rue du Général Leclerc</w:t>
                      </w:r>
                    </w:p>
                    <w:p w14:paraId="65F9FDE2" w14:textId="77777777" w:rsidR="00751E7E" w:rsidRPr="003D3F21" w:rsidRDefault="00751E7E" w:rsidP="003D3F21">
                      <w:pPr>
                        <w:jc w:val="left"/>
                        <w:rPr>
                          <w:rFonts w:ascii="Open Sans" w:hAnsi="Open Sans" w:cs="Open Sans"/>
                        </w:rPr>
                      </w:pPr>
                      <w:r w:rsidRPr="003D3F21">
                        <w:rPr>
                          <w:rFonts w:ascii="Open Sans" w:hAnsi="Open Sans" w:cs="Open Sans"/>
                        </w:rPr>
                        <w:t>94270 Le Kremlin Bicêtre</w:t>
                      </w:r>
                    </w:p>
                    <w:p w14:paraId="428DAD01" w14:textId="77777777" w:rsidR="00751E7E" w:rsidRPr="003D3F21" w:rsidRDefault="00751E7E" w:rsidP="003D3F21">
                      <w:pPr>
                        <w:jc w:val="left"/>
                        <w:rPr>
                          <w:rFonts w:ascii="Open Sans" w:hAnsi="Open Sans" w:cs="Open Sans"/>
                        </w:rPr>
                      </w:pPr>
                      <w:r w:rsidRPr="003D3F21">
                        <w:rPr>
                          <w:rFonts w:ascii="Open Sans" w:hAnsi="Open Sans" w:cs="Open Sans"/>
                        </w:rPr>
                        <w:t>Tél. : 01 53 14 69 00</w:t>
                      </w:r>
                    </w:p>
                    <w:p w14:paraId="5032DA67" w14:textId="63933660" w:rsidR="00751E7E" w:rsidRPr="000E4C95" w:rsidRDefault="006D42ED" w:rsidP="003D3F21">
                      <w:pPr>
                        <w:jc w:val="left"/>
                        <w:rPr>
                          <w:rFonts w:ascii="Montserrat" w:hAnsi="Montserrat" w:cs="Arial"/>
                        </w:rPr>
                      </w:pPr>
                      <w:r w:rsidRPr="003D3F21">
                        <w:rPr>
                          <w:rFonts w:ascii="Open Sans" w:hAnsi="Open Sans" w:cs="Open Sans"/>
                        </w:rPr>
                        <w:t xml:space="preserve">Fax : 01 </w:t>
                      </w:r>
                      <w:r w:rsidR="00EC294D" w:rsidRPr="003D3F21">
                        <w:rPr>
                          <w:rFonts w:ascii="Open Sans" w:hAnsi="Open Sans" w:cs="Open Sans"/>
                        </w:rPr>
                        <w:t>53</w:t>
                      </w:r>
                      <w:r w:rsidR="00751E7E" w:rsidRPr="003D3F21">
                        <w:rPr>
                          <w:rFonts w:ascii="Open Sans" w:hAnsi="Open Sans" w:cs="Open Sans"/>
                        </w:rPr>
                        <w:t xml:space="preserve"> 1</w:t>
                      </w:r>
                      <w:r w:rsidR="00EC294D" w:rsidRPr="003D3F21">
                        <w:rPr>
                          <w:rFonts w:ascii="Open Sans" w:hAnsi="Open Sans" w:cs="Open Sans"/>
                        </w:rPr>
                        <w:t>4</w:t>
                      </w:r>
                      <w:r w:rsidRPr="003D3F21">
                        <w:rPr>
                          <w:rFonts w:ascii="Open Sans" w:hAnsi="Open Sans" w:cs="Open Sans"/>
                        </w:rPr>
                        <w:t xml:space="preserve"> </w:t>
                      </w:r>
                      <w:r w:rsidR="00EC294D" w:rsidRPr="003D3F21">
                        <w:rPr>
                          <w:rFonts w:ascii="Open Sans" w:hAnsi="Open Sans" w:cs="Open Sans"/>
                        </w:rPr>
                        <w:t>69</w:t>
                      </w:r>
                      <w:r w:rsidRPr="003D3F21">
                        <w:rPr>
                          <w:rFonts w:ascii="Open Sans" w:hAnsi="Open Sans" w:cs="Open Sans"/>
                        </w:rPr>
                        <w:t xml:space="preserve"> </w:t>
                      </w:r>
                      <w:r w:rsidR="00EC294D" w:rsidRPr="003D3F21">
                        <w:rPr>
                          <w:rFonts w:ascii="Open Sans" w:hAnsi="Open Sans" w:cs="Open Sans"/>
                        </w:rPr>
                        <w:t>99</w:t>
                      </w:r>
                    </w:p>
                    <w:p w14:paraId="49F16F7E" w14:textId="77777777" w:rsidR="00751E7E" w:rsidRPr="002B272C" w:rsidRDefault="00751E7E" w:rsidP="00751E7E">
                      <w:pPr>
                        <w:rPr>
                          <w:rFonts w:ascii="Century Gothic" w:hAnsi="Century Gothic"/>
                        </w:rPr>
                      </w:pPr>
                    </w:p>
                  </w:txbxContent>
                </v:textbox>
              </v:shape>
            </w:pict>
          </mc:Fallback>
        </mc:AlternateContent>
      </w:r>
    </w:p>
    <w:p w14:paraId="71C96E03" w14:textId="77777777" w:rsidR="00227BDB" w:rsidRPr="00150AFC"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0"/>
          <w:szCs w:val="30"/>
        </w:rPr>
      </w:pPr>
      <w:r w:rsidRPr="00150AFC">
        <w:rPr>
          <w:rFonts w:ascii="Open Sans" w:hAnsi="Open Sans" w:cs="Open Sans"/>
          <w:b/>
          <w:sz w:val="30"/>
          <w:szCs w:val="30"/>
        </w:rPr>
        <w:t xml:space="preserve">CAHIER DES CLAUSES </w:t>
      </w:r>
      <w:r w:rsidRPr="00150AFC">
        <w:rPr>
          <w:rFonts w:ascii="Open Sans" w:hAnsi="Open Sans" w:cs="Open Sans"/>
          <w:b/>
          <w:color w:val="auto"/>
          <w:sz w:val="30"/>
          <w:szCs w:val="30"/>
        </w:rPr>
        <w:t xml:space="preserve">TECHNIQUES </w:t>
      </w:r>
      <w:r w:rsidRPr="00150AFC">
        <w:rPr>
          <w:rFonts w:ascii="Open Sans" w:hAnsi="Open Sans" w:cs="Open Sans"/>
          <w:b/>
          <w:sz w:val="30"/>
          <w:szCs w:val="30"/>
        </w:rPr>
        <w:t>PARTICULIERES</w:t>
      </w:r>
    </w:p>
    <w:p w14:paraId="578E5A61" w14:textId="77777777" w:rsidR="00227BDB" w:rsidRPr="00150AFC"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0"/>
          <w:szCs w:val="30"/>
        </w:rPr>
      </w:pPr>
    </w:p>
    <w:p w14:paraId="0B2E2DA8" w14:textId="5984BA90" w:rsidR="00227BDB" w:rsidRPr="00150AFC" w:rsidRDefault="00E42FE0">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0"/>
          <w:szCs w:val="30"/>
        </w:rPr>
      </w:pPr>
      <w:r w:rsidRPr="00150AFC">
        <w:rPr>
          <w:rFonts w:ascii="Open Sans" w:hAnsi="Open Sans" w:cs="Open Sans"/>
          <w:b/>
          <w:sz w:val="30"/>
          <w:szCs w:val="30"/>
        </w:rPr>
        <w:t>N</w:t>
      </w:r>
      <w:r w:rsidR="003D3F21" w:rsidRPr="00150AFC">
        <w:rPr>
          <w:rFonts w:ascii="Open Sans" w:hAnsi="Open Sans" w:cs="Open Sans"/>
          <w:b/>
          <w:sz w:val="30"/>
          <w:szCs w:val="30"/>
        </w:rPr>
        <w:t>° 2</w:t>
      </w:r>
      <w:r w:rsidR="009D63B9" w:rsidRPr="00150AFC">
        <w:rPr>
          <w:rFonts w:ascii="Open Sans" w:hAnsi="Open Sans" w:cs="Open Sans"/>
          <w:b/>
          <w:sz w:val="30"/>
          <w:szCs w:val="30"/>
        </w:rPr>
        <w:t>6</w:t>
      </w:r>
      <w:r w:rsidR="003D3F21" w:rsidRPr="00150AFC">
        <w:rPr>
          <w:rFonts w:ascii="Open Sans" w:hAnsi="Open Sans" w:cs="Open Sans"/>
          <w:b/>
          <w:sz w:val="30"/>
          <w:szCs w:val="30"/>
        </w:rPr>
        <w:t>/00</w:t>
      </w:r>
      <w:r w:rsidR="009D63B9" w:rsidRPr="00150AFC">
        <w:rPr>
          <w:rFonts w:ascii="Open Sans" w:hAnsi="Open Sans" w:cs="Open Sans"/>
          <w:b/>
          <w:sz w:val="30"/>
          <w:szCs w:val="30"/>
        </w:rPr>
        <w:t>6</w:t>
      </w:r>
      <w:r w:rsidR="00227BDB" w:rsidRPr="00150AFC">
        <w:rPr>
          <w:rFonts w:ascii="Open Sans" w:hAnsi="Open Sans" w:cs="Open Sans"/>
          <w:b/>
          <w:sz w:val="30"/>
          <w:szCs w:val="30"/>
        </w:rPr>
        <w:t xml:space="preserve"> </w:t>
      </w:r>
    </w:p>
    <w:p w14:paraId="0AB689B8" w14:textId="77777777" w:rsidR="00227BDB" w:rsidRPr="00150AFC" w:rsidRDefault="00227BDB">
      <w:pPr>
        <w:pStyle w:val="Retraitcorpsdetexte"/>
        <w:jc w:val="left"/>
        <w:rPr>
          <w:rFonts w:ascii="Open Sans" w:hAnsi="Open Sans" w:cs="Open Sans"/>
          <w:i w:val="0"/>
          <w:sz w:val="30"/>
          <w:szCs w:val="30"/>
        </w:rPr>
      </w:pPr>
    </w:p>
    <w:p w14:paraId="5602810E" w14:textId="77777777" w:rsidR="00227BDB" w:rsidRPr="00150AFC" w:rsidRDefault="00227BDB" w:rsidP="000E4C95">
      <w:pPr>
        <w:spacing w:after="200"/>
        <w:rPr>
          <w:rFonts w:ascii="Open Sans" w:hAnsi="Open Sans" w:cs="Open Sans"/>
        </w:rPr>
      </w:pPr>
    </w:p>
    <w:p w14:paraId="3A35F60E" w14:textId="77777777" w:rsidR="00227BDB" w:rsidRPr="00150AFC" w:rsidRDefault="00227BDB" w:rsidP="000E4C95">
      <w:pPr>
        <w:spacing w:after="200"/>
        <w:rPr>
          <w:rFonts w:ascii="Open Sans" w:hAnsi="Open Sans" w:cs="Open Sans"/>
        </w:rPr>
      </w:pPr>
    </w:p>
    <w:p w14:paraId="432D4B4E" w14:textId="77777777" w:rsidR="00227BDB" w:rsidRPr="00150AFC" w:rsidRDefault="00227BDB" w:rsidP="000E4C95">
      <w:pPr>
        <w:spacing w:after="200"/>
        <w:rPr>
          <w:rFonts w:ascii="Open Sans" w:hAnsi="Open Sans" w:cs="Open Sans"/>
        </w:rPr>
      </w:pPr>
    </w:p>
    <w:p w14:paraId="3BAECF78" w14:textId="77777777" w:rsidR="00227BDB" w:rsidRPr="00150AFC" w:rsidRDefault="00227BDB" w:rsidP="000E4C95">
      <w:pPr>
        <w:spacing w:after="200"/>
        <w:rPr>
          <w:rFonts w:ascii="Open Sans" w:hAnsi="Open Sans" w:cs="Open Sans"/>
        </w:rPr>
      </w:pPr>
    </w:p>
    <w:p w14:paraId="1DA922E5" w14:textId="77777777" w:rsidR="003D3F21" w:rsidRPr="00150AFC" w:rsidRDefault="003D3F21" w:rsidP="003D3F21">
      <w:pPr>
        <w:rPr>
          <w:rFonts w:ascii="Open Sans" w:hAnsi="Open Sans" w:cs="Open Sans"/>
          <w:sz w:val="18"/>
          <w:szCs w:val="18"/>
        </w:rPr>
      </w:pPr>
      <w:r w:rsidRPr="00150AFC">
        <w:rPr>
          <w:rFonts w:ascii="Open Sans" w:hAnsi="Open Sans" w:cs="Open Sans"/>
          <w:sz w:val="18"/>
          <w:szCs w:val="18"/>
        </w:rPr>
        <w:t xml:space="preserve">Procédure : </w:t>
      </w:r>
      <w:r w:rsidRPr="00150AFC">
        <w:rPr>
          <w:rFonts w:ascii="Open Sans" w:hAnsi="Open Sans" w:cs="Open Sans"/>
          <w:b/>
          <w:sz w:val="18"/>
          <w:szCs w:val="18"/>
        </w:rPr>
        <w:t>Appel d’Offres Ouvert</w:t>
      </w:r>
    </w:p>
    <w:p w14:paraId="7CAC5F30" w14:textId="77777777" w:rsidR="003D3F21" w:rsidRPr="00150AFC" w:rsidRDefault="003D3F21" w:rsidP="003D3F21">
      <w:pPr>
        <w:rPr>
          <w:rFonts w:ascii="Open Sans" w:hAnsi="Open Sans" w:cs="Open Sans"/>
          <w:sz w:val="18"/>
          <w:szCs w:val="18"/>
        </w:rPr>
      </w:pPr>
    </w:p>
    <w:p w14:paraId="7BCCB6E2" w14:textId="77777777" w:rsidR="003D3F21" w:rsidRPr="00150AFC" w:rsidRDefault="003D3F21" w:rsidP="003D3F21">
      <w:pPr>
        <w:rPr>
          <w:rFonts w:ascii="Open Sans" w:hAnsi="Open Sans" w:cs="Open Sans"/>
          <w:sz w:val="18"/>
          <w:szCs w:val="18"/>
        </w:rPr>
      </w:pPr>
    </w:p>
    <w:p w14:paraId="77910571" w14:textId="1D8A2E8F" w:rsidR="003D3F21" w:rsidRPr="00150AFC" w:rsidRDefault="003D3F21" w:rsidP="003D3F21">
      <w:pPr>
        <w:widowControl w:val="0"/>
        <w:autoSpaceDE w:val="0"/>
        <w:autoSpaceDN w:val="0"/>
        <w:adjustRightInd w:val="0"/>
        <w:spacing w:after="200"/>
        <w:rPr>
          <w:rFonts w:ascii="Open Sans" w:hAnsi="Open Sans" w:cs="Open Sans"/>
          <w:sz w:val="18"/>
          <w:szCs w:val="18"/>
        </w:rPr>
      </w:pPr>
      <w:r w:rsidRPr="00150AFC">
        <w:rPr>
          <w:rFonts w:ascii="Open Sans" w:hAnsi="Open Sans" w:cs="Open Sans"/>
          <w:sz w:val="18"/>
          <w:szCs w:val="18"/>
        </w:rPr>
        <w:t xml:space="preserve">Objet : </w:t>
      </w:r>
      <w:r w:rsidRPr="00150AFC">
        <w:rPr>
          <w:rFonts w:ascii="Open Sans" w:hAnsi="Open Sans" w:cs="Open Sans"/>
          <w:b/>
          <w:sz w:val="18"/>
          <w:szCs w:val="18"/>
        </w:rPr>
        <w:t>Fourniture de carburants</w:t>
      </w:r>
      <w:r w:rsidR="003F7F15" w:rsidRPr="00150AFC">
        <w:rPr>
          <w:rFonts w:ascii="Open Sans" w:hAnsi="Open Sans" w:cs="Open Sans"/>
          <w:b/>
          <w:sz w:val="18"/>
          <w:szCs w:val="18"/>
        </w:rPr>
        <w:t>, prestation de recharges électriques,</w:t>
      </w:r>
      <w:r w:rsidRPr="00150AFC">
        <w:rPr>
          <w:rFonts w:ascii="Open Sans" w:hAnsi="Open Sans" w:cs="Open Sans"/>
          <w:b/>
          <w:sz w:val="18"/>
          <w:szCs w:val="18"/>
        </w:rPr>
        <w:t xml:space="preserve"> et prestations associées par cartes accréditives</w:t>
      </w:r>
    </w:p>
    <w:p w14:paraId="118ABE4F" w14:textId="77777777" w:rsidR="003D3F21" w:rsidRPr="00150AFC" w:rsidRDefault="003D3F21" w:rsidP="003D3F21">
      <w:pPr>
        <w:rPr>
          <w:rFonts w:ascii="Open Sans" w:hAnsi="Open Sans" w:cs="Open Sans"/>
          <w:sz w:val="18"/>
          <w:szCs w:val="18"/>
        </w:rPr>
      </w:pPr>
    </w:p>
    <w:p w14:paraId="12B392BA" w14:textId="37434714" w:rsidR="003D3F21" w:rsidRPr="00150AFC" w:rsidRDefault="003D3F21" w:rsidP="003D3F21">
      <w:pPr>
        <w:rPr>
          <w:rFonts w:ascii="Open Sans" w:hAnsi="Open Sans" w:cs="Open Sans"/>
          <w:sz w:val="18"/>
          <w:szCs w:val="18"/>
        </w:rPr>
      </w:pPr>
      <w:r w:rsidRPr="00150AFC">
        <w:rPr>
          <w:rFonts w:ascii="Open Sans" w:hAnsi="Open Sans" w:cs="Open Sans"/>
          <w:sz w:val="18"/>
          <w:szCs w:val="18"/>
        </w:rPr>
        <w:t xml:space="preserve">Le présent marché est conclu pour </w:t>
      </w:r>
      <w:r w:rsidR="009D63B9" w:rsidRPr="00150AFC">
        <w:rPr>
          <w:rFonts w:ascii="Open Sans" w:hAnsi="Open Sans" w:cs="Open Sans"/>
          <w:sz w:val="18"/>
          <w:szCs w:val="18"/>
        </w:rPr>
        <w:t>une</w:t>
      </w:r>
      <w:r w:rsidRPr="00150AFC">
        <w:rPr>
          <w:rFonts w:ascii="Open Sans" w:hAnsi="Open Sans" w:cs="Open Sans"/>
          <w:sz w:val="18"/>
          <w:szCs w:val="18"/>
        </w:rPr>
        <w:t xml:space="preserve"> période </w:t>
      </w:r>
      <w:r w:rsidR="009D63B9" w:rsidRPr="00150AFC">
        <w:rPr>
          <w:rFonts w:ascii="Open Sans" w:hAnsi="Open Sans" w:cs="Open Sans"/>
          <w:sz w:val="18"/>
          <w:szCs w:val="18"/>
        </w:rPr>
        <w:t>de 48 mois à compter de sa notification</w:t>
      </w:r>
      <w:r w:rsidRPr="00150AFC">
        <w:rPr>
          <w:rFonts w:ascii="Open Sans" w:hAnsi="Open Sans" w:cs="Open Sans"/>
          <w:sz w:val="18"/>
          <w:szCs w:val="18"/>
        </w:rPr>
        <w:t>, éventuellement résiliable sans indemnité à la seule demande de l’Assistance Publique - Hôpitaux de Paris 6 mois avant la fin du marché.</w:t>
      </w:r>
    </w:p>
    <w:p w14:paraId="1C004EA4" w14:textId="77777777" w:rsidR="00227BDB" w:rsidRPr="00150AFC" w:rsidRDefault="00227BDB" w:rsidP="000E4C95">
      <w:pPr>
        <w:spacing w:after="200"/>
        <w:rPr>
          <w:rFonts w:ascii="Open Sans" w:hAnsi="Open Sans" w:cs="Open Sans"/>
          <w:color w:val="auto"/>
        </w:rPr>
      </w:pPr>
    </w:p>
    <w:p w14:paraId="52D5A8BE" w14:textId="166B093D" w:rsidR="00227BDB" w:rsidRPr="00150AFC" w:rsidRDefault="00227BDB" w:rsidP="000E4C95">
      <w:pPr>
        <w:spacing w:after="200"/>
        <w:rPr>
          <w:rFonts w:ascii="Open Sans" w:hAnsi="Open Sans" w:cs="Open Sans"/>
          <w:color w:val="auto"/>
        </w:rPr>
      </w:pPr>
      <w:r w:rsidRPr="00150AFC">
        <w:rPr>
          <w:rFonts w:ascii="Open Sans" w:hAnsi="Open Sans" w:cs="Open Sans"/>
          <w:color w:val="auto"/>
        </w:rPr>
        <w:t xml:space="preserve">Ce document </w:t>
      </w:r>
      <w:r w:rsidR="00A83E9C" w:rsidRPr="00150AFC">
        <w:rPr>
          <w:rFonts w:ascii="Open Sans" w:hAnsi="Open Sans" w:cs="Open Sans"/>
          <w:color w:val="auto"/>
        </w:rPr>
        <w:t>comprend 1</w:t>
      </w:r>
      <w:r w:rsidR="00490000">
        <w:rPr>
          <w:rFonts w:ascii="Open Sans" w:hAnsi="Open Sans" w:cs="Open Sans"/>
          <w:color w:val="auto"/>
        </w:rPr>
        <w:t>0</w:t>
      </w:r>
      <w:r w:rsidRPr="00150AFC">
        <w:rPr>
          <w:rFonts w:ascii="Open Sans" w:hAnsi="Open Sans" w:cs="Open Sans"/>
          <w:color w:val="auto"/>
        </w:rPr>
        <w:t xml:space="preserve"> pages et est associé au Cahier des Clauses Administratives Particulières</w:t>
      </w:r>
    </w:p>
    <w:p w14:paraId="74171C81" w14:textId="327FC37B" w:rsidR="00227BDB" w:rsidRPr="00150AFC" w:rsidRDefault="00227BDB" w:rsidP="009F73F1">
      <w:pPr>
        <w:pStyle w:val="Style1"/>
      </w:pPr>
      <w:r w:rsidRPr="00150AFC">
        <w:br w:type="page"/>
      </w:r>
    </w:p>
    <w:p w14:paraId="6AACB2E4" w14:textId="0F73F2E2" w:rsidR="00227BDB" w:rsidRPr="00150AFC" w:rsidRDefault="00227BDB" w:rsidP="009F73F1">
      <w:pPr>
        <w:pStyle w:val="Style1"/>
      </w:pPr>
      <w:r w:rsidRPr="00150AFC">
        <w:lastRenderedPageBreak/>
        <w:t>SOMMAIRE</w:t>
      </w:r>
    </w:p>
    <w:p w14:paraId="7E57C60B" w14:textId="77777777" w:rsidR="00227BDB" w:rsidRPr="00150AFC" w:rsidRDefault="00227BDB">
      <w:pPr>
        <w:rPr>
          <w:rFonts w:ascii="Open Sans" w:hAnsi="Open Sans" w:cs="Open Sans"/>
        </w:rPr>
      </w:pPr>
    </w:p>
    <w:p w14:paraId="08559673" w14:textId="77777777" w:rsidR="00227BDB" w:rsidRPr="00150AFC" w:rsidRDefault="00227BDB">
      <w:pPr>
        <w:rPr>
          <w:rFonts w:ascii="Open Sans" w:hAnsi="Open Sans" w:cs="Open Sans"/>
        </w:rPr>
      </w:pPr>
    </w:p>
    <w:p w14:paraId="38092C40" w14:textId="487A57F9" w:rsidR="008A101F" w:rsidRPr="00150AFC" w:rsidRDefault="00227BDB">
      <w:pPr>
        <w:pStyle w:val="TM2"/>
        <w:rPr>
          <w:rFonts w:ascii="Open Sans" w:eastAsiaTheme="minorEastAsia" w:hAnsi="Open Sans" w:cs="Open Sans"/>
          <w:noProof/>
          <w:color w:val="auto"/>
          <w:sz w:val="22"/>
          <w:szCs w:val="22"/>
        </w:rPr>
      </w:pPr>
      <w:r w:rsidRPr="00150AFC">
        <w:rPr>
          <w:rFonts w:ascii="Open Sans" w:hAnsi="Open Sans" w:cs="Open Sans"/>
          <w:sz w:val="22"/>
          <w:szCs w:val="22"/>
        </w:rPr>
        <w:fldChar w:fldCharType="begin"/>
      </w:r>
      <w:r w:rsidRPr="00150AFC">
        <w:rPr>
          <w:rFonts w:ascii="Open Sans" w:hAnsi="Open Sans" w:cs="Open Sans"/>
          <w:sz w:val="22"/>
          <w:szCs w:val="22"/>
        </w:rPr>
        <w:instrText xml:space="preserve"> TOC \o "1-3" </w:instrText>
      </w:r>
      <w:r w:rsidRPr="00150AFC">
        <w:rPr>
          <w:rFonts w:ascii="Open Sans" w:hAnsi="Open Sans" w:cs="Open Sans"/>
          <w:sz w:val="22"/>
          <w:szCs w:val="22"/>
        </w:rPr>
        <w:fldChar w:fldCharType="separate"/>
      </w:r>
      <w:r w:rsidR="008A101F" w:rsidRPr="00150AFC">
        <w:rPr>
          <w:rFonts w:ascii="Open Sans" w:hAnsi="Open Sans" w:cs="Open Sans"/>
          <w:noProof/>
        </w:rPr>
        <w:t>ARTICLE 1 : GLOSSAIRE :</w:t>
      </w:r>
      <w:r w:rsidR="008A101F" w:rsidRPr="00150AFC">
        <w:rPr>
          <w:rFonts w:ascii="Open Sans" w:hAnsi="Open Sans" w:cs="Open Sans"/>
          <w:noProof/>
        </w:rPr>
        <w:tab/>
      </w:r>
      <w:r w:rsidR="008A101F" w:rsidRPr="00150AFC">
        <w:rPr>
          <w:rFonts w:ascii="Open Sans" w:hAnsi="Open Sans" w:cs="Open Sans"/>
          <w:noProof/>
        </w:rPr>
        <w:fldChar w:fldCharType="begin"/>
      </w:r>
      <w:r w:rsidR="008A101F" w:rsidRPr="00150AFC">
        <w:rPr>
          <w:rFonts w:ascii="Open Sans" w:hAnsi="Open Sans" w:cs="Open Sans"/>
          <w:noProof/>
        </w:rPr>
        <w:instrText xml:space="preserve"> PAGEREF _Toc211526461 \h </w:instrText>
      </w:r>
      <w:r w:rsidR="008A101F" w:rsidRPr="00150AFC">
        <w:rPr>
          <w:rFonts w:ascii="Open Sans" w:hAnsi="Open Sans" w:cs="Open Sans"/>
          <w:noProof/>
        </w:rPr>
      </w:r>
      <w:r w:rsidR="008A101F" w:rsidRPr="00150AFC">
        <w:rPr>
          <w:rFonts w:ascii="Open Sans" w:hAnsi="Open Sans" w:cs="Open Sans"/>
          <w:noProof/>
        </w:rPr>
        <w:fldChar w:fldCharType="separate"/>
      </w:r>
      <w:r w:rsidR="008A101F" w:rsidRPr="00150AFC">
        <w:rPr>
          <w:rFonts w:ascii="Open Sans" w:hAnsi="Open Sans" w:cs="Open Sans"/>
          <w:noProof/>
        </w:rPr>
        <w:t>3</w:t>
      </w:r>
      <w:r w:rsidR="008A101F" w:rsidRPr="00150AFC">
        <w:rPr>
          <w:rFonts w:ascii="Open Sans" w:hAnsi="Open Sans" w:cs="Open Sans"/>
          <w:noProof/>
        </w:rPr>
        <w:fldChar w:fldCharType="end"/>
      </w:r>
    </w:p>
    <w:p w14:paraId="52F35B68" w14:textId="7DD1CF45"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ARTICLE 2: OBJET</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_Toc211526462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3</w:t>
      </w:r>
      <w:r w:rsidRPr="00150AFC">
        <w:rPr>
          <w:rFonts w:ascii="Open Sans" w:hAnsi="Open Sans" w:cs="Open Sans"/>
          <w:noProof/>
        </w:rPr>
        <w:fldChar w:fldCharType="end"/>
      </w:r>
    </w:p>
    <w:p w14:paraId="5D067B8C" w14:textId="3C7B959D"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ARTICLE 3: DECOMPOSITION EN LOT</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_Toc211526463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3</w:t>
      </w:r>
      <w:r w:rsidRPr="00150AFC">
        <w:rPr>
          <w:rFonts w:ascii="Open Sans" w:hAnsi="Open Sans" w:cs="Open Sans"/>
          <w:noProof/>
        </w:rPr>
        <w:fldChar w:fldCharType="end"/>
      </w:r>
    </w:p>
    <w:p w14:paraId="5CBE90BC" w14:textId="2C4656BE"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ARTICLE 4: COMPOSITION DES LOTS ET VOLUMETRIE</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_Toc211526464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3</w:t>
      </w:r>
      <w:r w:rsidRPr="00150AFC">
        <w:rPr>
          <w:rFonts w:ascii="Open Sans" w:hAnsi="Open Sans" w:cs="Open Sans"/>
          <w:noProof/>
        </w:rPr>
        <w:fldChar w:fldCharType="end"/>
      </w:r>
    </w:p>
    <w:p w14:paraId="15C36533" w14:textId="3DC0CAC5"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ARTICLE 5: SPECIFICATIONS TECHNIQUES DES PRODUITS</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_Toc211526465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4</w:t>
      </w:r>
      <w:r w:rsidRPr="00150AFC">
        <w:rPr>
          <w:rFonts w:ascii="Open Sans" w:hAnsi="Open Sans" w:cs="Open Sans"/>
          <w:noProof/>
        </w:rPr>
        <w:fldChar w:fldCharType="end"/>
      </w:r>
    </w:p>
    <w:p w14:paraId="040E1465" w14:textId="7032BB35"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5.1. Périmètre de la prestation lié à l’utilisation et contrôle des cartes carburantes :</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_Toc211526466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4</w:t>
      </w:r>
      <w:r w:rsidRPr="00150AFC">
        <w:rPr>
          <w:rFonts w:ascii="Open Sans" w:hAnsi="Open Sans" w:cs="Open Sans"/>
          <w:noProof/>
        </w:rPr>
        <w:fldChar w:fldCharType="end"/>
      </w:r>
    </w:p>
    <w:p w14:paraId="2B312961" w14:textId="18635721"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5.2. Le relevé d’opérations d’utilisation de la carte</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_Toc211526467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4</w:t>
      </w:r>
      <w:r w:rsidRPr="00150AFC">
        <w:rPr>
          <w:rFonts w:ascii="Open Sans" w:hAnsi="Open Sans" w:cs="Open Sans"/>
          <w:noProof/>
        </w:rPr>
        <w:fldChar w:fldCharType="end"/>
      </w:r>
    </w:p>
    <w:p w14:paraId="180D3B0B" w14:textId="33199339"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5.3. Contrôle et identification des cartes :</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_Toc211526468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5</w:t>
      </w:r>
      <w:r w:rsidRPr="00150AFC">
        <w:rPr>
          <w:rFonts w:ascii="Open Sans" w:hAnsi="Open Sans" w:cs="Open Sans"/>
          <w:noProof/>
        </w:rPr>
        <w:fldChar w:fldCharType="end"/>
      </w:r>
    </w:p>
    <w:p w14:paraId="4E9ECF71" w14:textId="6A723C50"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5.4. L’approvisionnement en carburants et recharge électrique :</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_Toc211526469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6</w:t>
      </w:r>
      <w:r w:rsidRPr="00150AFC">
        <w:rPr>
          <w:rFonts w:ascii="Open Sans" w:hAnsi="Open Sans" w:cs="Open Sans"/>
          <w:noProof/>
        </w:rPr>
        <w:fldChar w:fldCharType="end"/>
      </w:r>
    </w:p>
    <w:p w14:paraId="3D88EF9A" w14:textId="3094EDBD"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5.5. Les modes de fonctionnement des stations :</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_Toc211526470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6</w:t>
      </w:r>
      <w:r w:rsidRPr="00150AFC">
        <w:rPr>
          <w:rFonts w:ascii="Open Sans" w:hAnsi="Open Sans" w:cs="Open Sans"/>
          <w:noProof/>
        </w:rPr>
        <w:fldChar w:fldCharType="end"/>
      </w:r>
    </w:p>
    <w:p w14:paraId="495CC0B6" w14:textId="18F899BF"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5.6. Destruction / perte et vol des cartes accréditives :</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_Toc211526471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6</w:t>
      </w:r>
      <w:r w:rsidRPr="00150AFC">
        <w:rPr>
          <w:rFonts w:ascii="Open Sans" w:hAnsi="Open Sans" w:cs="Open Sans"/>
          <w:noProof/>
        </w:rPr>
        <w:fldChar w:fldCharType="end"/>
      </w:r>
    </w:p>
    <w:p w14:paraId="0659D0D3" w14:textId="62FE8820" w:rsidR="008A101F" w:rsidRPr="00150AFC" w:rsidRDefault="008A101F">
      <w:pPr>
        <w:pStyle w:val="TM2"/>
        <w:rPr>
          <w:rFonts w:ascii="Open Sans" w:eastAsiaTheme="minorEastAsia" w:hAnsi="Open Sans" w:cs="Open Sans"/>
          <w:noProof/>
          <w:color w:val="auto"/>
          <w:sz w:val="22"/>
          <w:szCs w:val="22"/>
        </w:rPr>
      </w:pPr>
      <w:r w:rsidRPr="00150AFC">
        <w:rPr>
          <w:rFonts w:ascii="Open Sans" w:hAnsi="Open Sans" w:cs="Open Sans"/>
          <w:noProof/>
        </w:rPr>
        <w:t>ARTICLE 6: REGLEMENTATION ET SPECIFICATIONS GENERALEs</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_Toc211526472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7</w:t>
      </w:r>
      <w:r w:rsidRPr="00150AFC">
        <w:rPr>
          <w:rFonts w:ascii="Open Sans" w:hAnsi="Open Sans" w:cs="Open Sans"/>
          <w:noProof/>
        </w:rPr>
        <w:fldChar w:fldCharType="end"/>
      </w:r>
    </w:p>
    <w:p w14:paraId="3EACE5CD" w14:textId="301461DC" w:rsidR="008A101F" w:rsidRPr="00150AFC" w:rsidRDefault="008A101F">
      <w:pPr>
        <w:pStyle w:val="TM1"/>
        <w:tabs>
          <w:tab w:val="right" w:leader="dot" w:pos="9061"/>
        </w:tabs>
        <w:rPr>
          <w:rFonts w:ascii="Open Sans" w:eastAsiaTheme="minorEastAsia" w:hAnsi="Open Sans" w:cs="Open Sans"/>
          <w:noProof/>
          <w:color w:val="auto"/>
          <w:sz w:val="22"/>
          <w:szCs w:val="22"/>
        </w:rPr>
      </w:pPr>
      <w:r w:rsidRPr="00150AFC">
        <w:rPr>
          <w:rFonts w:ascii="Open Sans" w:hAnsi="Open Sans" w:cs="Open Sans"/>
          <w:noProof/>
        </w:rPr>
        <w:t>Annexe n° 1 : Cadre de réponse technique</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_Toc211526473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8</w:t>
      </w:r>
      <w:r w:rsidRPr="00150AFC">
        <w:rPr>
          <w:rFonts w:ascii="Open Sans" w:hAnsi="Open Sans" w:cs="Open Sans"/>
          <w:noProof/>
        </w:rPr>
        <w:fldChar w:fldCharType="end"/>
      </w:r>
    </w:p>
    <w:p w14:paraId="09F8B754" w14:textId="61043BA7" w:rsidR="008A101F" w:rsidRPr="00150AFC" w:rsidRDefault="008A101F">
      <w:pPr>
        <w:pStyle w:val="TM1"/>
        <w:tabs>
          <w:tab w:val="right" w:leader="dot" w:pos="9061"/>
        </w:tabs>
        <w:rPr>
          <w:rFonts w:ascii="Open Sans" w:eastAsiaTheme="minorEastAsia" w:hAnsi="Open Sans" w:cs="Open Sans"/>
          <w:noProof/>
          <w:color w:val="auto"/>
          <w:sz w:val="22"/>
          <w:szCs w:val="22"/>
        </w:rPr>
      </w:pPr>
      <w:r w:rsidRPr="00150AFC">
        <w:rPr>
          <w:rFonts w:ascii="Open Sans" w:hAnsi="Open Sans" w:cs="Open Sans"/>
          <w:noProof/>
        </w:rPr>
        <w:t>Annexe n° 2 : Cadre de réponse environnementale</w:t>
      </w:r>
      <w:r w:rsidRPr="00150AFC">
        <w:rPr>
          <w:rFonts w:ascii="Open Sans" w:hAnsi="Open Sans" w:cs="Open Sans"/>
          <w:noProof/>
        </w:rPr>
        <w:tab/>
      </w:r>
      <w:r w:rsidRPr="00150AFC">
        <w:rPr>
          <w:rFonts w:ascii="Open Sans" w:hAnsi="Open Sans" w:cs="Open Sans"/>
          <w:noProof/>
        </w:rPr>
        <w:fldChar w:fldCharType="begin"/>
      </w:r>
      <w:r w:rsidRPr="00150AFC">
        <w:rPr>
          <w:rFonts w:ascii="Open Sans" w:hAnsi="Open Sans" w:cs="Open Sans"/>
          <w:noProof/>
        </w:rPr>
        <w:instrText xml:space="preserve"> PAGEREF _Toc211526474 \h </w:instrText>
      </w:r>
      <w:r w:rsidRPr="00150AFC">
        <w:rPr>
          <w:rFonts w:ascii="Open Sans" w:hAnsi="Open Sans" w:cs="Open Sans"/>
          <w:noProof/>
        </w:rPr>
      </w:r>
      <w:r w:rsidRPr="00150AFC">
        <w:rPr>
          <w:rFonts w:ascii="Open Sans" w:hAnsi="Open Sans" w:cs="Open Sans"/>
          <w:noProof/>
        </w:rPr>
        <w:fldChar w:fldCharType="separate"/>
      </w:r>
      <w:r w:rsidRPr="00150AFC">
        <w:rPr>
          <w:rFonts w:ascii="Open Sans" w:hAnsi="Open Sans" w:cs="Open Sans"/>
          <w:noProof/>
        </w:rPr>
        <w:t>10</w:t>
      </w:r>
      <w:r w:rsidRPr="00150AFC">
        <w:rPr>
          <w:rFonts w:ascii="Open Sans" w:hAnsi="Open Sans" w:cs="Open Sans"/>
          <w:noProof/>
        </w:rPr>
        <w:fldChar w:fldCharType="end"/>
      </w:r>
    </w:p>
    <w:p w14:paraId="6093612A" w14:textId="259DBA6E" w:rsidR="00227BDB" w:rsidRPr="00150AFC" w:rsidRDefault="00227BDB">
      <w:pPr>
        <w:rPr>
          <w:rFonts w:ascii="Open Sans" w:hAnsi="Open Sans" w:cs="Open Sans"/>
        </w:rPr>
      </w:pPr>
      <w:r w:rsidRPr="00150AFC">
        <w:rPr>
          <w:rFonts w:ascii="Open Sans" w:hAnsi="Open Sans" w:cs="Open Sans"/>
          <w:sz w:val="22"/>
          <w:szCs w:val="22"/>
        </w:rPr>
        <w:fldChar w:fldCharType="end"/>
      </w:r>
    </w:p>
    <w:p w14:paraId="11038325" w14:textId="77777777" w:rsidR="000200DD" w:rsidRPr="00150AFC" w:rsidRDefault="00227BDB" w:rsidP="00D3120E">
      <w:pPr>
        <w:pStyle w:val="Titre2"/>
        <w:rPr>
          <w:rFonts w:ascii="Open Sans" w:hAnsi="Open Sans"/>
        </w:rPr>
      </w:pPr>
      <w:r w:rsidRPr="00150AFC">
        <w:rPr>
          <w:rFonts w:ascii="Open Sans" w:hAnsi="Open Sans"/>
        </w:rPr>
        <w:br w:type="page"/>
      </w:r>
      <w:bookmarkStart w:id="0" w:name="_Toc128193584"/>
      <w:bookmarkStart w:id="1" w:name="_Toc130915639"/>
    </w:p>
    <w:p w14:paraId="4ECAD1B8" w14:textId="67905795" w:rsidR="000200DD" w:rsidRPr="00150AFC" w:rsidRDefault="000200DD" w:rsidP="00D3120E">
      <w:pPr>
        <w:pStyle w:val="Titre2"/>
        <w:rPr>
          <w:rFonts w:ascii="Open Sans" w:hAnsi="Open Sans"/>
        </w:rPr>
      </w:pPr>
      <w:bookmarkStart w:id="2" w:name="_Toc211526461"/>
      <w:r w:rsidRPr="00150AFC">
        <w:rPr>
          <w:rFonts w:ascii="Open Sans" w:hAnsi="Open Sans"/>
        </w:rPr>
        <w:lastRenderedPageBreak/>
        <w:t>ARTICLE 1 : GLOSSAIRE :</w:t>
      </w:r>
      <w:bookmarkEnd w:id="2"/>
    </w:p>
    <w:tbl>
      <w:tblPr>
        <w:tblStyle w:val="Tableauweb1"/>
        <w:tblW w:w="0" w:type="auto"/>
        <w:tblLook w:val="04A0" w:firstRow="1" w:lastRow="0" w:firstColumn="1" w:lastColumn="0" w:noHBand="0" w:noVBand="1"/>
      </w:tblPr>
      <w:tblGrid>
        <w:gridCol w:w="1690"/>
        <w:gridCol w:w="7365"/>
      </w:tblGrid>
      <w:tr w:rsidR="000200DD" w:rsidRPr="00150AFC" w14:paraId="734275D5" w14:textId="77777777" w:rsidTr="00150AFC">
        <w:trPr>
          <w:cnfStyle w:val="100000000000" w:firstRow="1" w:lastRow="0" w:firstColumn="0" w:lastColumn="0" w:oddVBand="0" w:evenVBand="0" w:oddHBand="0" w:evenHBand="0" w:firstRowFirstColumn="0" w:firstRowLastColumn="0" w:lastRowFirstColumn="0" w:lastRowLastColumn="0"/>
        </w:trPr>
        <w:tc>
          <w:tcPr>
            <w:tcW w:w="1630" w:type="dxa"/>
            <w:vAlign w:val="center"/>
          </w:tcPr>
          <w:p w14:paraId="55DC7149" w14:textId="77777777" w:rsidR="000200DD" w:rsidRPr="00150AFC" w:rsidRDefault="000200DD" w:rsidP="009F73F1">
            <w:pPr>
              <w:pStyle w:val="Style1"/>
              <w:rPr>
                <w:b w:val="0"/>
                <w:sz w:val="18"/>
                <w:szCs w:val="18"/>
              </w:rPr>
            </w:pPr>
            <w:r w:rsidRPr="00150AFC">
              <w:rPr>
                <w:b w:val="0"/>
                <w:sz w:val="18"/>
                <w:szCs w:val="18"/>
              </w:rPr>
              <w:t>BPU</w:t>
            </w:r>
          </w:p>
        </w:tc>
        <w:tc>
          <w:tcPr>
            <w:tcW w:w="7305" w:type="dxa"/>
          </w:tcPr>
          <w:p w14:paraId="04F2D783" w14:textId="77777777" w:rsidR="000200DD" w:rsidRPr="00150AFC" w:rsidRDefault="000200DD" w:rsidP="009F73F1">
            <w:pPr>
              <w:pStyle w:val="Style1"/>
              <w:rPr>
                <w:b w:val="0"/>
                <w:sz w:val="18"/>
                <w:szCs w:val="18"/>
              </w:rPr>
            </w:pPr>
            <w:r w:rsidRPr="00150AFC">
              <w:rPr>
                <w:b w:val="0"/>
                <w:sz w:val="18"/>
                <w:szCs w:val="18"/>
              </w:rPr>
              <w:t>Bordereau de Prix Unitaires</w:t>
            </w:r>
          </w:p>
        </w:tc>
      </w:tr>
      <w:tr w:rsidR="000200DD" w:rsidRPr="00150AFC" w14:paraId="2600B36B" w14:textId="77777777" w:rsidTr="00150AFC">
        <w:tc>
          <w:tcPr>
            <w:tcW w:w="1630" w:type="dxa"/>
            <w:vAlign w:val="center"/>
          </w:tcPr>
          <w:p w14:paraId="57AF63E3" w14:textId="77777777" w:rsidR="000200DD" w:rsidRPr="00150AFC" w:rsidRDefault="000200DD" w:rsidP="009F73F1">
            <w:pPr>
              <w:pStyle w:val="Style1"/>
              <w:rPr>
                <w:b w:val="0"/>
                <w:sz w:val="18"/>
                <w:szCs w:val="18"/>
              </w:rPr>
            </w:pPr>
            <w:r w:rsidRPr="00150AFC">
              <w:rPr>
                <w:b w:val="0"/>
                <w:sz w:val="18"/>
                <w:szCs w:val="18"/>
              </w:rPr>
              <w:t>HBPU</w:t>
            </w:r>
          </w:p>
        </w:tc>
        <w:tc>
          <w:tcPr>
            <w:tcW w:w="7305" w:type="dxa"/>
          </w:tcPr>
          <w:p w14:paraId="7E97F0E0" w14:textId="315CF6AD" w:rsidR="000200DD" w:rsidRPr="00150AFC" w:rsidRDefault="000200DD" w:rsidP="009F73F1">
            <w:pPr>
              <w:pStyle w:val="Style1"/>
              <w:rPr>
                <w:b w:val="0"/>
                <w:sz w:val="18"/>
                <w:szCs w:val="18"/>
              </w:rPr>
            </w:pPr>
            <w:r w:rsidRPr="00150AFC">
              <w:rPr>
                <w:b w:val="0"/>
                <w:sz w:val="18"/>
                <w:szCs w:val="18"/>
              </w:rPr>
              <w:t>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0200DD" w:rsidRPr="00150AFC" w14:paraId="159E40F4" w14:textId="77777777" w:rsidTr="00150AFC">
        <w:tc>
          <w:tcPr>
            <w:tcW w:w="1630" w:type="dxa"/>
            <w:vAlign w:val="center"/>
          </w:tcPr>
          <w:p w14:paraId="03EFD509" w14:textId="46460816" w:rsidR="000200DD" w:rsidRPr="00150AFC" w:rsidRDefault="003F7F15" w:rsidP="009F73F1">
            <w:pPr>
              <w:pStyle w:val="Style1"/>
              <w:rPr>
                <w:b w:val="0"/>
                <w:sz w:val="18"/>
                <w:szCs w:val="18"/>
              </w:rPr>
            </w:pPr>
            <w:r w:rsidRPr="00150AFC">
              <w:rPr>
                <w:b w:val="0"/>
                <w:sz w:val="18"/>
                <w:szCs w:val="18"/>
              </w:rPr>
              <w:t>RFA</w:t>
            </w:r>
          </w:p>
        </w:tc>
        <w:tc>
          <w:tcPr>
            <w:tcW w:w="7305" w:type="dxa"/>
          </w:tcPr>
          <w:p w14:paraId="22CC607C" w14:textId="6FD3E694" w:rsidR="000200DD" w:rsidRPr="00150AFC" w:rsidRDefault="003F7F15" w:rsidP="009F73F1">
            <w:pPr>
              <w:pStyle w:val="Style1"/>
              <w:rPr>
                <w:b w:val="0"/>
                <w:sz w:val="18"/>
                <w:szCs w:val="18"/>
              </w:rPr>
            </w:pPr>
            <w:r w:rsidRPr="00150AFC">
              <w:rPr>
                <w:b w:val="0"/>
                <w:sz w:val="18"/>
                <w:szCs w:val="18"/>
              </w:rPr>
              <w:t>Remise de fin d’année</w:t>
            </w:r>
          </w:p>
        </w:tc>
      </w:tr>
    </w:tbl>
    <w:p w14:paraId="732E8430" w14:textId="249A57B3" w:rsidR="00227BDB" w:rsidRPr="00150AFC" w:rsidRDefault="00150AFC" w:rsidP="00D3120E">
      <w:pPr>
        <w:pStyle w:val="Titre2"/>
        <w:rPr>
          <w:rFonts w:ascii="Open Sans" w:hAnsi="Open Sans"/>
        </w:rPr>
      </w:pPr>
      <w:bookmarkStart w:id="3" w:name="_Toc211526462"/>
      <w:r w:rsidRPr="00150AFC">
        <w:rPr>
          <w:rFonts w:ascii="Open Sans" w:hAnsi="Open Sans"/>
        </w:rPr>
        <w:t xml:space="preserve">ARTICLE2 : </w:t>
      </w:r>
      <w:r w:rsidR="00227BDB" w:rsidRPr="00150AFC">
        <w:rPr>
          <w:rFonts w:ascii="Open Sans" w:hAnsi="Open Sans"/>
        </w:rPr>
        <w:t>OBJET</w:t>
      </w:r>
      <w:bookmarkEnd w:id="0"/>
      <w:bookmarkEnd w:id="1"/>
      <w:bookmarkEnd w:id="3"/>
    </w:p>
    <w:p w14:paraId="70435D87" w14:textId="5B031A3F" w:rsidR="000E4C95" w:rsidRPr="00150AFC" w:rsidRDefault="007E113C" w:rsidP="007E113C">
      <w:pPr>
        <w:widowControl w:val="0"/>
        <w:autoSpaceDE w:val="0"/>
        <w:autoSpaceDN w:val="0"/>
        <w:adjustRightInd w:val="0"/>
        <w:spacing w:after="200"/>
        <w:rPr>
          <w:rFonts w:ascii="Open Sans" w:hAnsi="Open Sans" w:cs="Open Sans"/>
          <w:sz w:val="18"/>
          <w:szCs w:val="18"/>
        </w:rPr>
      </w:pPr>
      <w:bookmarkStart w:id="4" w:name="_Toc130915640"/>
      <w:r w:rsidRPr="00150AFC">
        <w:rPr>
          <w:rFonts w:ascii="Open Sans" w:hAnsi="Open Sans" w:cs="Open Sans"/>
          <w:sz w:val="18"/>
          <w:szCs w:val="18"/>
        </w:rPr>
        <w:t xml:space="preserve">La consultation porte sur la </w:t>
      </w:r>
      <w:r w:rsidR="009D63B9" w:rsidRPr="00150AFC">
        <w:rPr>
          <w:rFonts w:ascii="Open Sans" w:hAnsi="Open Sans" w:cs="Open Sans"/>
          <w:b/>
          <w:bCs/>
          <w:sz w:val="18"/>
          <w:szCs w:val="18"/>
        </w:rPr>
        <w:t>« </w:t>
      </w:r>
      <w:r w:rsidR="009D63B9" w:rsidRPr="00150AFC">
        <w:rPr>
          <w:rFonts w:ascii="Open Sans" w:hAnsi="Open Sans" w:cs="Open Sans"/>
          <w:b/>
          <w:sz w:val="18"/>
          <w:szCs w:val="18"/>
        </w:rPr>
        <w:t xml:space="preserve">fourniture de carburants, prestation de recharge électrique et prestations associées par cartes accréditives », </w:t>
      </w:r>
      <w:r w:rsidR="009D63B9" w:rsidRPr="00150AFC">
        <w:rPr>
          <w:rFonts w:ascii="Open Sans" w:hAnsi="Open Sans" w:cs="Open Sans"/>
          <w:bCs/>
          <w:sz w:val="18"/>
          <w:szCs w:val="18"/>
        </w:rPr>
        <w:t>nécessaire aux besoins des divers hôpitaux, des pôles d’intérêt commun et des divers services du Siège de l’Assistance Publique Hôpitaux de Paris., nécessaire aux besoins de l’AP-HP</w:t>
      </w:r>
      <w:r w:rsidRPr="00150AFC">
        <w:rPr>
          <w:rFonts w:ascii="Open Sans" w:hAnsi="Open Sans" w:cs="Open Sans"/>
          <w:bCs/>
          <w:sz w:val="18"/>
          <w:szCs w:val="18"/>
        </w:rPr>
        <w:t>.</w:t>
      </w:r>
    </w:p>
    <w:p w14:paraId="3D567043" w14:textId="7071EB21" w:rsidR="00227BDB" w:rsidRPr="00150AFC" w:rsidRDefault="00150AFC" w:rsidP="00D3120E">
      <w:pPr>
        <w:pStyle w:val="Titre2"/>
        <w:rPr>
          <w:rFonts w:ascii="Open Sans" w:hAnsi="Open Sans"/>
        </w:rPr>
      </w:pPr>
      <w:bookmarkStart w:id="5" w:name="_Toc211526463"/>
      <w:r w:rsidRPr="00150AFC">
        <w:rPr>
          <w:rFonts w:ascii="Open Sans" w:hAnsi="Open Sans"/>
        </w:rPr>
        <w:t xml:space="preserve">article 3 : </w:t>
      </w:r>
      <w:r w:rsidR="00227BDB" w:rsidRPr="00150AFC">
        <w:rPr>
          <w:rFonts w:ascii="Open Sans" w:hAnsi="Open Sans"/>
        </w:rPr>
        <w:t>DECOMPOSITION EN LOT</w:t>
      </w:r>
      <w:bookmarkEnd w:id="4"/>
      <w:bookmarkEnd w:id="5"/>
    </w:p>
    <w:p w14:paraId="41A4D13E" w14:textId="3134D32E" w:rsidR="00227BDB" w:rsidRPr="00150AFC" w:rsidRDefault="00227BDB" w:rsidP="007E113C">
      <w:pPr>
        <w:pStyle w:val="Normal2"/>
        <w:spacing w:after="200"/>
        <w:rPr>
          <w:rFonts w:ascii="Open Sans" w:hAnsi="Open Sans" w:cs="Open Sans"/>
          <w:i w:val="0"/>
        </w:rPr>
      </w:pPr>
      <w:r w:rsidRPr="00150AFC">
        <w:rPr>
          <w:rFonts w:ascii="Open Sans" w:hAnsi="Open Sans" w:cs="Open Sans"/>
          <w:i w:val="0"/>
        </w:rPr>
        <w:t>Les prestations sont réunies en un lot unique.</w:t>
      </w:r>
    </w:p>
    <w:tbl>
      <w:tblPr>
        <w:tblW w:w="9080" w:type="dxa"/>
        <w:jc w:val="center"/>
        <w:tblLayout w:type="fixed"/>
        <w:tblCellMar>
          <w:left w:w="70" w:type="dxa"/>
          <w:right w:w="70" w:type="dxa"/>
        </w:tblCellMar>
        <w:tblLook w:val="0000" w:firstRow="0" w:lastRow="0" w:firstColumn="0" w:lastColumn="0" w:noHBand="0" w:noVBand="0"/>
      </w:tblPr>
      <w:tblGrid>
        <w:gridCol w:w="795"/>
        <w:gridCol w:w="5953"/>
        <w:gridCol w:w="2332"/>
      </w:tblGrid>
      <w:tr w:rsidR="007E113C" w:rsidRPr="00150AFC" w14:paraId="3AF16CC2" w14:textId="77777777" w:rsidTr="007E113C">
        <w:trPr>
          <w:jc w:val="center"/>
        </w:trPr>
        <w:tc>
          <w:tcPr>
            <w:tcW w:w="795" w:type="dxa"/>
            <w:tcBorders>
              <w:top w:val="single" w:sz="6" w:space="0" w:color="000000"/>
              <w:left w:val="single" w:sz="6" w:space="0" w:color="000000"/>
              <w:bottom w:val="single" w:sz="6" w:space="0" w:color="000000"/>
              <w:right w:val="single" w:sz="6" w:space="0" w:color="000000"/>
            </w:tcBorders>
          </w:tcPr>
          <w:p w14:paraId="37FA52BA" w14:textId="77777777" w:rsidR="007E113C" w:rsidRPr="00150AFC" w:rsidRDefault="007E113C" w:rsidP="004E4773">
            <w:pPr>
              <w:widowControl w:val="0"/>
              <w:autoSpaceDE w:val="0"/>
              <w:autoSpaceDN w:val="0"/>
              <w:adjustRightInd w:val="0"/>
              <w:spacing w:before="80" w:after="80"/>
              <w:jc w:val="center"/>
              <w:rPr>
                <w:rFonts w:ascii="Open Sans" w:hAnsi="Open Sans" w:cs="Open Sans"/>
                <w:b/>
                <w:iCs/>
                <w:sz w:val="18"/>
                <w:szCs w:val="18"/>
              </w:rPr>
            </w:pPr>
            <w:bookmarkStart w:id="6" w:name="_Toc128193589"/>
            <w:bookmarkStart w:id="7" w:name="_Toc130915641"/>
            <w:r w:rsidRPr="00150AFC">
              <w:rPr>
                <w:rFonts w:ascii="Open Sans" w:hAnsi="Open Sans" w:cs="Open Sans"/>
                <w:b/>
                <w:iCs/>
                <w:sz w:val="18"/>
                <w:szCs w:val="18"/>
              </w:rPr>
              <w:t>N° du lot</w:t>
            </w:r>
          </w:p>
        </w:tc>
        <w:tc>
          <w:tcPr>
            <w:tcW w:w="5953" w:type="dxa"/>
            <w:tcBorders>
              <w:top w:val="single" w:sz="6" w:space="0" w:color="000000"/>
              <w:left w:val="single" w:sz="6" w:space="0" w:color="000000"/>
              <w:bottom w:val="single" w:sz="6" w:space="0" w:color="000000"/>
              <w:right w:val="single" w:sz="6" w:space="0" w:color="000000"/>
            </w:tcBorders>
          </w:tcPr>
          <w:p w14:paraId="1944709B" w14:textId="77777777" w:rsidR="007E113C" w:rsidRPr="00150AFC" w:rsidRDefault="007E113C" w:rsidP="004E4773">
            <w:pPr>
              <w:widowControl w:val="0"/>
              <w:autoSpaceDE w:val="0"/>
              <w:autoSpaceDN w:val="0"/>
              <w:adjustRightInd w:val="0"/>
              <w:spacing w:before="80" w:after="80"/>
              <w:jc w:val="center"/>
              <w:rPr>
                <w:rFonts w:ascii="Open Sans" w:hAnsi="Open Sans" w:cs="Open Sans"/>
                <w:b/>
                <w:iCs/>
                <w:sz w:val="18"/>
                <w:szCs w:val="18"/>
              </w:rPr>
            </w:pPr>
            <w:r w:rsidRPr="00150AFC">
              <w:rPr>
                <w:rFonts w:ascii="Open Sans" w:hAnsi="Open Sans" w:cs="Open Sans"/>
                <w:b/>
                <w:iCs/>
                <w:sz w:val="18"/>
                <w:szCs w:val="18"/>
              </w:rPr>
              <w:t>Intitulé du lot</w:t>
            </w:r>
          </w:p>
        </w:tc>
        <w:tc>
          <w:tcPr>
            <w:tcW w:w="2332" w:type="dxa"/>
            <w:tcBorders>
              <w:top w:val="single" w:sz="6" w:space="0" w:color="000000"/>
              <w:left w:val="single" w:sz="6" w:space="0" w:color="000000"/>
              <w:bottom w:val="single" w:sz="6" w:space="0" w:color="000000"/>
              <w:right w:val="single" w:sz="6" w:space="0" w:color="000000"/>
            </w:tcBorders>
          </w:tcPr>
          <w:p w14:paraId="71A0A546" w14:textId="77777777" w:rsidR="007E113C" w:rsidRPr="00150AFC" w:rsidRDefault="007E113C" w:rsidP="004E4773">
            <w:pPr>
              <w:widowControl w:val="0"/>
              <w:autoSpaceDE w:val="0"/>
              <w:autoSpaceDN w:val="0"/>
              <w:adjustRightInd w:val="0"/>
              <w:spacing w:before="80" w:after="80"/>
              <w:jc w:val="center"/>
              <w:rPr>
                <w:rFonts w:ascii="Open Sans" w:hAnsi="Open Sans" w:cs="Open Sans"/>
                <w:b/>
                <w:iCs/>
                <w:sz w:val="18"/>
                <w:szCs w:val="18"/>
              </w:rPr>
            </w:pPr>
            <w:r w:rsidRPr="00150AFC">
              <w:rPr>
                <w:rFonts w:ascii="Open Sans" w:hAnsi="Open Sans" w:cs="Open Sans"/>
                <w:b/>
                <w:iCs/>
                <w:sz w:val="18"/>
                <w:szCs w:val="18"/>
              </w:rPr>
              <w:t>Quantités prévisionnelles totales du lot (par an)</w:t>
            </w:r>
          </w:p>
        </w:tc>
      </w:tr>
      <w:tr w:rsidR="007E113C" w:rsidRPr="00150AFC" w14:paraId="19166724" w14:textId="77777777" w:rsidTr="007E113C">
        <w:trPr>
          <w:jc w:val="center"/>
        </w:trPr>
        <w:tc>
          <w:tcPr>
            <w:tcW w:w="795" w:type="dxa"/>
            <w:tcBorders>
              <w:top w:val="single" w:sz="6" w:space="0" w:color="000000"/>
              <w:left w:val="single" w:sz="6" w:space="0" w:color="000000"/>
              <w:bottom w:val="single" w:sz="6" w:space="0" w:color="000000"/>
              <w:right w:val="single" w:sz="6" w:space="0" w:color="000000"/>
            </w:tcBorders>
          </w:tcPr>
          <w:p w14:paraId="5AE631E8" w14:textId="77777777" w:rsidR="007E113C" w:rsidRPr="00150AFC" w:rsidRDefault="007E113C" w:rsidP="004E4773">
            <w:pPr>
              <w:widowControl w:val="0"/>
              <w:autoSpaceDE w:val="0"/>
              <w:autoSpaceDN w:val="0"/>
              <w:adjustRightInd w:val="0"/>
              <w:spacing w:before="80" w:after="80"/>
              <w:jc w:val="center"/>
              <w:rPr>
                <w:rFonts w:ascii="Open Sans" w:hAnsi="Open Sans" w:cs="Open Sans"/>
                <w:iCs/>
                <w:sz w:val="18"/>
                <w:szCs w:val="18"/>
              </w:rPr>
            </w:pPr>
            <w:r w:rsidRPr="00150AFC">
              <w:rPr>
                <w:rFonts w:ascii="Open Sans" w:hAnsi="Open Sans" w:cs="Open Sans"/>
                <w:iCs/>
                <w:sz w:val="18"/>
                <w:szCs w:val="18"/>
              </w:rPr>
              <w:t>Unique</w:t>
            </w:r>
          </w:p>
        </w:tc>
        <w:tc>
          <w:tcPr>
            <w:tcW w:w="5953" w:type="dxa"/>
            <w:tcBorders>
              <w:top w:val="single" w:sz="6" w:space="0" w:color="000000"/>
              <w:left w:val="single" w:sz="6" w:space="0" w:color="000000"/>
              <w:bottom w:val="single" w:sz="6" w:space="0" w:color="000000"/>
              <w:right w:val="single" w:sz="6" w:space="0" w:color="000000"/>
            </w:tcBorders>
          </w:tcPr>
          <w:p w14:paraId="4C156C8B" w14:textId="63B0E35B" w:rsidR="007E113C" w:rsidRPr="00150AFC" w:rsidRDefault="007E113C" w:rsidP="004E4773">
            <w:pPr>
              <w:widowControl w:val="0"/>
              <w:autoSpaceDE w:val="0"/>
              <w:autoSpaceDN w:val="0"/>
              <w:adjustRightInd w:val="0"/>
              <w:spacing w:before="80" w:after="80"/>
              <w:rPr>
                <w:rFonts w:ascii="Open Sans" w:hAnsi="Open Sans" w:cs="Open Sans"/>
                <w:iCs/>
                <w:sz w:val="18"/>
                <w:szCs w:val="18"/>
              </w:rPr>
            </w:pPr>
            <w:r w:rsidRPr="00150AFC">
              <w:rPr>
                <w:rFonts w:ascii="Open Sans" w:hAnsi="Open Sans" w:cs="Open Sans"/>
                <w:iCs/>
                <w:sz w:val="18"/>
                <w:szCs w:val="18"/>
              </w:rPr>
              <w:t>Carburants</w:t>
            </w:r>
            <w:r w:rsidR="009D63B9" w:rsidRPr="00150AFC">
              <w:rPr>
                <w:rFonts w:ascii="Open Sans" w:hAnsi="Open Sans" w:cs="Open Sans"/>
                <w:iCs/>
                <w:sz w:val="18"/>
                <w:szCs w:val="18"/>
              </w:rPr>
              <w:t>, recharge électrique</w:t>
            </w:r>
            <w:r w:rsidRPr="00150AFC">
              <w:rPr>
                <w:rFonts w:ascii="Open Sans" w:hAnsi="Open Sans" w:cs="Open Sans"/>
                <w:iCs/>
                <w:sz w:val="18"/>
                <w:szCs w:val="18"/>
              </w:rPr>
              <w:t xml:space="preserve"> et prestations associées par cartes accréditives</w:t>
            </w:r>
          </w:p>
        </w:tc>
        <w:tc>
          <w:tcPr>
            <w:tcW w:w="2332" w:type="dxa"/>
            <w:tcBorders>
              <w:top w:val="single" w:sz="6" w:space="0" w:color="000000"/>
              <w:left w:val="single" w:sz="6" w:space="0" w:color="000000"/>
              <w:bottom w:val="single" w:sz="6" w:space="0" w:color="000000"/>
              <w:right w:val="single" w:sz="6" w:space="0" w:color="000000"/>
            </w:tcBorders>
          </w:tcPr>
          <w:p w14:paraId="6CF1F379" w14:textId="499B0DE3" w:rsidR="007E113C" w:rsidRPr="00150AFC" w:rsidRDefault="007E113C" w:rsidP="004E4773">
            <w:pPr>
              <w:widowControl w:val="0"/>
              <w:autoSpaceDE w:val="0"/>
              <w:autoSpaceDN w:val="0"/>
              <w:adjustRightInd w:val="0"/>
              <w:spacing w:before="80" w:after="80"/>
              <w:jc w:val="center"/>
              <w:rPr>
                <w:rFonts w:ascii="Open Sans" w:hAnsi="Open Sans" w:cs="Open Sans"/>
                <w:iCs/>
                <w:sz w:val="18"/>
                <w:szCs w:val="18"/>
              </w:rPr>
            </w:pPr>
            <w:r w:rsidRPr="00150AFC">
              <w:rPr>
                <w:rFonts w:ascii="Open Sans" w:hAnsi="Open Sans" w:cs="Open Sans"/>
                <w:iCs/>
                <w:sz w:val="18"/>
                <w:szCs w:val="18"/>
              </w:rPr>
              <w:t>8</w:t>
            </w:r>
            <w:r w:rsidR="005C41FD">
              <w:rPr>
                <w:rFonts w:ascii="Open Sans" w:hAnsi="Open Sans" w:cs="Open Sans"/>
                <w:iCs/>
                <w:sz w:val="18"/>
                <w:szCs w:val="18"/>
              </w:rPr>
              <w:t>3</w:t>
            </w:r>
            <w:r w:rsidR="009D63B9" w:rsidRPr="00150AFC">
              <w:rPr>
                <w:rFonts w:ascii="Open Sans" w:hAnsi="Open Sans" w:cs="Open Sans"/>
                <w:iCs/>
                <w:sz w:val="18"/>
                <w:szCs w:val="18"/>
              </w:rPr>
              <w:t>2</w:t>
            </w:r>
            <w:r w:rsidRPr="00150AFC">
              <w:rPr>
                <w:rFonts w:ascii="Open Sans" w:hAnsi="Open Sans" w:cs="Open Sans"/>
                <w:iCs/>
                <w:sz w:val="18"/>
                <w:szCs w:val="18"/>
              </w:rPr>
              <w:t> </w:t>
            </w:r>
            <w:r w:rsidR="005C41FD">
              <w:rPr>
                <w:rFonts w:ascii="Open Sans" w:hAnsi="Open Sans" w:cs="Open Sans"/>
                <w:iCs/>
                <w:sz w:val="18"/>
                <w:szCs w:val="18"/>
              </w:rPr>
              <w:t>1</w:t>
            </w:r>
            <w:r w:rsidR="009D63B9" w:rsidRPr="00150AFC">
              <w:rPr>
                <w:rFonts w:ascii="Open Sans" w:hAnsi="Open Sans" w:cs="Open Sans"/>
                <w:iCs/>
                <w:sz w:val="18"/>
                <w:szCs w:val="18"/>
              </w:rPr>
              <w:t>00</w:t>
            </w:r>
            <w:r w:rsidRPr="00150AFC">
              <w:rPr>
                <w:rFonts w:ascii="Open Sans" w:hAnsi="Open Sans" w:cs="Open Sans"/>
                <w:iCs/>
                <w:sz w:val="18"/>
                <w:szCs w:val="18"/>
              </w:rPr>
              <w:t xml:space="preserve"> litres pour tous types de carburants</w:t>
            </w:r>
          </w:p>
        </w:tc>
      </w:tr>
    </w:tbl>
    <w:p w14:paraId="69392751" w14:textId="61513806" w:rsidR="00227BDB" w:rsidRPr="00150AFC" w:rsidRDefault="00150AFC" w:rsidP="00D3120E">
      <w:pPr>
        <w:pStyle w:val="Titre2"/>
        <w:rPr>
          <w:rFonts w:ascii="Open Sans" w:hAnsi="Open Sans"/>
        </w:rPr>
      </w:pPr>
      <w:bookmarkStart w:id="8" w:name="_Toc211526464"/>
      <w:r w:rsidRPr="00150AFC">
        <w:rPr>
          <w:rFonts w:ascii="Open Sans" w:hAnsi="Open Sans"/>
        </w:rPr>
        <w:t xml:space="preserve">article 4 : </w:t>
      </w:r>
      <w:r w:rsidR="00227BDB" w:rsidRPr="00150AFC">
        <w:rPr>
          <w:rFonts w:ascii="Open Sans" w:hAnsi="Open Sans"/>
        </w:rPr>
        <w:t>COMPOSITION DES LOTS ET VOLUMETRIE</w:t>
      </w:r>
      <w:bookmarkEnd w:id="6"/>
      <w:bookmarkEnd w:id="7"/>
      <w:bookmarkEnd w:id="8"/>
    </w:p>
    <w:p w14:paraId="11D0C577" w14:textId="08C17657" w:rsidR="00227BDB" w:rsidRPr="00150AFC" w:rsidRDefault="007E113C" w:rsidP="000E4C95">
      <w:pPr>
        <w:spacing w:after="200"/>
        <w:rPr>
          <w:rFonts w:ascii="Open Sans" w:hAnsi="Open Sans" w:cs="Open Sans"/>
          <w:bCs/>
          <w:sz w:val="22"/>
          <w:u w:val="single"/>
        </w:rPr>
      </w:pPr>
      <w:r w:rsidRPr="00150AFC">
        <w:rPr>
          <w:rFonts w:ascii="Open Sans" w:hAnsi="Open Sans" w:cs="Open Sans"/>
          <w:bCs/>
          <w:sz w:val="22"/>
          <w:u w:val="single"/>
        </w:rPr>
        <w:t>L</w:t>
      </w:r>
      <w:r w:rsidR="00D3120E" w:rsidRPr="00150AFC">
        <w:rPr>
          <w:rFonts w:ascii="Open Sans" w:hAnsi="Open Sans" w:cs="Open Sans"/>
          <w:bCs/>
          <w:sz w:val="22"/>
          <w:u w:val="single"/>
        </w:rPr>
        <w:t>ot unique</w:t>
      </w:r>
    </w:p>
    <w:p w14:paraId="78C90B6E" w14:textId="4DE18A7F" w:rsidR="007E113C" w:rsidRPr="00150AFC" w:rsidRDefault="007E113C" w:rsidP="000E4C95">
      <w:pPr>
        <w:spacing w:after="200"/>
        <w:rPr>
          <w:rFonts w:ascii="Open Sans" w:hAnsi="Open Sans" w:cs="Open Sans"/>
          <w:sz w:val="18"/>
          <w:szCs w:val="18"/>
        </w:rPr>
      </w:pPr>
      <w:r w:rsidRPr="00150AFC">
        <w:rPr>
          <w:rFonts w:ascii="Open Sans" w:hAnsi="Open Sans" w:cs="Open Sans"/>
          <w:sz w:val="18"/>
          <w:szCs w:val="18"/>
        </w:rPr>
        <w:t>La partie listée est estimée à 98% du volume financier annuel du lot, la part des autres prestations associées (péages, lavage, parking…) à 2%.</w:t>
      </w:r>
    </w:p>
    <w:tbl>
      <w:tblPr>
        <w:tblW w:w="10055" w:type="dxa"/>
        <w:jc w:val="center"/>
        <w:tblCellMar>
          <w:left w:w="10" w:type="dxa"/>
          <w:right w:w="10" w:type="dxa"/>
        </w:tblCellMar>
        <w:tblLook w:val="0000" w:firstRow="0" w:lastRow="0" w:firstColumn="0" w:lastColumn="0" w:noHBand="0" w:noVBand="0"/>
      </w:tblPr>
      <w:tblGrid>
        <w:gridCol w:w="2561"/>
        <w:gridCol w:w="4375"/>
        <w:gridCol w:w="3119"/>
      </w:tblGrid>
      <w:tr w:rsidR="009D63B9" w:rsidRPr="00150AFC" w14:paraId="25ABA225" w14:textId="77777777" w:rsidTr="00D3120E">
        <w:trPr>
          <w:trHeight w:val="240"/>
          <w:jc w:val="center"/>
        </w:trPr>
        <w:tc>
          <w:tcPr>
            <w:tcW w:w="2561" w:type="dxa"/>
            <w:tcBorders>
              <w:top w:val="single" w:sz="4" w:space="0" w:color="000000"/>
              <w:left w:val="single" w:sz="8" w:space="0" w:color="000000"/>
              <w:bottom w:val="single" w:sz="4" w:space="0" w:color="000000"/>
              <w:right w:val="single" w:sz="4" w:space="0" w:color="000000"/>
            </w:tcBorders>
            <w:shd w:val="clear" w:color="auto" w:fill="E6E6E6"/>
            <w:tcMar>
              <w:top w:w="13" w:type="dxa"/>
              <w:left w:w="13" w:type="dxa"/>
              <w:bottom w:w="0" w:type="dxa"/>
              <w:right w:w="13" w:type="dxa"/>
            </w:tcMar>
            <w:vAlign w:val="center"/>
          </w:tcPr>
          <w:p w14:paraId="15A558B0" w14:textId="77777777" w:rsidR="009D63B9" w:rsidRPr="00150AFC" w:rsidRDefault="009D63B9" w:rsidP="00485924">
            <w:pPr>
              <w:jc w:val="center"/>
              <w:rPr>
                <w:rFonts w:ascii="Open Sans" w:hAnsi="Open Sans" w:cs="Open Sans"/>
                <w:sz w:val="18"/>
                <w:szCs w:val="18"/>
              </w:rPr>
            </w:pPr>
            <w:bookmarkStart w:id="9" w:name="_Toc128193590"/>
            <w:bookmarkStart w:id="10" w:name="_Toc130915642"/>
            <w:r w:rsidRPr="00150AFC">
              <w:rPr>
                <w:rFonts w:ascii="Open Sans" w:hAnsi="Open Sans" w:cs="Open Sans"/>
                <w:sz w:val="18"/>
                <w:szCs w:val="18"/>
              </w:rPr>
              <w:t>Dénomination commerciale du produit</w:t>
            </w:r>
          </w:p>
        </w:tc>
        <w:tc>
          <w:tcPr>
            <w:tcW w:w="4375" w:type="dxa"/>
            <w:tcBorders>
              <w:top w:val="single" w:sz="4" w:space="0" w:color="000000"/>
              <w:left w:val="single" w:sz="4" w:space="0" w:color="000000"/>
              <w:bottom w:val="single" w:sz="4" w:space="0" w:color="000000"/>
              <w:right w:val="single" w:sz="4" w:space="0" w:color="000000"/>
            </w:tcBorders>
            <w:shd w:val="clear" w:color="auto" w:fill="E6E6E6"/>
            <w:tcMar>
              <w:top w:w="13" w:type="dxa"/>
              <w:left w:w="13" w:type="dxa"/>
              <w:bottom w:w="0" w:type="dxa"/>
              <w:right w:w="13" w:type="dxa"/>
            </w:tcMar>
            <w:vAlign w:val="center"/>
          </w:tcPr>
          <w:p w14:paraId="03481B27"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Caractéristiques</w:t>
            </w:r>
          </w:p>
        </w:tc>
        <w:tc>
          <w:tcPr>
            <w:tcW w:w="3119"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14:paraId="00465807" w14:textId="77777777" w:rsidR="009D63B9" w:rsidRPr="00150AFC" w:rsidRDefault="009D63B9" w:rsidP="00D3120E">
            <w:pPr>
              <w:jc w:val="center"/>
              <w:rPr>
                <w:rFonts w:ascii="Open Sans" w:hAnsi="Open Sans" w:cs="Open Sans"/>
                <w:sz w:val="18"/>
                <w:szCs w:val="18"/>
              </w:rPr>
            </w:pPr>
            <w:r w:rsidRPr="00150AFC">
              <w:rPr>
                <w:rFonts w:ascii="Open Sans" w:hAnsi="Open Sans" w:cs="Open Sans"/>
                <w:iCs/>
                <w:sz w:val="18"/>
                <w:szCs w:val="18"/>
              </w:rPr>
              <w:t>Quantités prévisionnelles totales du lot (par an) par article</w:t>
            </w:r>
          </w:p>
        </w:tc>
      </w:tr>
      <w:tr w:rsidR="009D63B9" w:rsidRPr="00150AFC" w14:paraId="523A89FD" w14:textId="77777777" w:rsidTr="00D3120E">
        <w:trPr>
          <w:trHeight w:val="356"/>
          <w:jc w:val="center"/>
        </w:trPr>
        <w:tc>
          <w:tcPr>
            <w:tcW w:w="2561" w:type="dxa"/>
            <w:tcBorders>
              <w:top w:val="single" w:sz="4" w:space="0" w:color="000000"/>
              <w:left w:val="single" w:sz="8"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44782640"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SP 95E10</w:t>
            </w:r>
          </w:p>
        </w:tc>
        <w:tc>
          <w:tcPr>
            <w:tcW w:w="4375" w:type="dxa"/>
            <w:tcBorders>
              <w:top w:val="single" w:sz="4" w:space="0" w:color="000000"/>
              <w:left w:val="single" w:sz="4"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50603366" w14:textId="77777777" w:rsidR="009D63B9" w:rsidRPr="00150AFC" w:rsidRDefault="009D63B9" w:rsidP="00D3120E">
            <w:pPr>
              <w:jc w:val="left"/>
              <w:rPr>
                <w:rFonts w:ascii="Open Sans" w:hAnsi="Open Sans" w:cs="Open Sans"/>
                <w:sz w:val="18"/>
                <w:szCs w:val="18"/>
              </w:rPr>
            </w:pPr>
            <w:r w:rsidRPr="00150AFC">
              <w:rPr>
                <w:rFonts w:ascii="Open Sans" w:hAnsi="Open Sans" w:cs="Open Sans"/>
                <w:sz w:val="18"/>
                <w:szCs w:val="18"/>
              </w:rPr>
              <w:t>Super 95 additivé (Super sans plomb 95 E10)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5A0BB34"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327 500 L</w:t>
            </w:r>
          </w:p>
        </w:tc>
      </w:tr>
      <w:tr w:rsidR="009D63B9" w:rsidRPr="00150AFC" w14:paraId="52C9C965" w14:textId="77777777" w:rsidTr="00D3120E">
        <w:trPr>
          <w:trHeight w:val="356"/>
          <w:jc w:val="center"/>
        </w:trPr>
        <w:tc>
          <w:tcPr>
            <w:tcW w:w="2561" w:type="dxa"/>
            <w:tcBorders>
              <w:top w:val="single" w:sz="4" w:space="0" w:color="000000"/>
              <w:left w:val="single" w:sz="8"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2ACC8F6B"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GAZOLE</w:t>
            </w:r>
          </w:p>
        </w:tc>
        <w:tc>
          <w:tcPr>
            <w:tcW w:w="4375" w:type="dxa"/>
            <w:tcBorders>
              <w:top w:val="single" w:sz="4" w:space="0" w:color="000000"/>
              <w:left w:val="single" w:sz="4"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04A6D3EA" w14:textId="77777777" w:rsidR="009D63B9" w:rsidRPr="00150AFC" w:rsidRDefault="009D63B9" w:rsidP="00D3120E">
            <w:pPr>
              <w:jc w:val="left"/>
              <w:rPr>
                <w:rFonts w:ascii="Open Sans" w:hAnsi="Open Sans" w:cs="Open Sans"/>
                <w:sz w:val="18"/>
                <w:szCs w:val="18"/>
              </w:rPr>
            </w:pPr>
            <w:r w:rsidRPr="00150AFC">
              <w:rPr>
                <w:rFonts w:ascii="Open Sans" w:hAnsi="Open Sans" w:cs="Open Sans"/>
                <w:sz w:val="18"/>
                <w:szCs w:val="18"/>
              </w:rPr>
              <w:t>Gazole (&lt; 10 ppm/ additivé)</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F1C7BE5"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184 000 L</w:t>
            </w:r>
          </w:p>
        </w:tc>
      </w:tr>
      <w:tr w:rsidR="009D63B9" w:rsidRPr="00150AFC" w14:paraId="335DC350" w14:textId="77777777" w:rsidTr="00D3120E">
        <w:trPr>
          <w:trHeight w:val="415"/>
          <w:jc w:val="center"/>
        </w:trPr>
        <w:tc>
          <w:tcPr>
            <w:tcW w:w="2561" w:type="dxa"/>
            <w:tcBorders>
              <w:top w:val="single" w:sz="4" w:space="0" w:color="000000"/>
              <w:left w:val="single" w:sz="8"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2240134A" w14:textId="029E6C5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 xml:space="preserve">SP 98 </w:t>
            </w:r>
          </w:p>
        </w:tc>
        <w:tc>
          <w:tcPr>
            <w:tcW w:w="4375" w:type="dxa"/>
            <w:tcBorders>
              <w:top w:val="single" w:sz="4" w:space="0" w:color="000000"/>
              <w:left w:val="single" w:sz="4"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0F30D16E" w14:textId="77777777" w:rsidR="009D63B9" w:rsidRPr="00150AFC" w:rsidRDefault="009D63B9" w:rsidP="00D3120E">
            <w:pPr>
              <w:jc w:val="left"/>
              <w:rPr>
                <w:rFonts w:ascii="Open Sans" w:hAnsi="Open Sans" w:cs="Open Sans"/>
                <w:sz w:val="18"/>
                <w:szCs w:val="18"/>
              </w:rPr>
            </w:pPr>
            <w:r w:rsidRPr="00150AFC">
              <w:rPr>
                <w:rFonts w:ascii="Open Sans" w:hAnsi="Open Sans" w:cs="Open Sans"/>
                <w:sz w:val="18"/>
                <w:szCs w:val="18"/>
              </w:rPr>
              <w:t>Super 98 sans plomb (Eurgrade 98 ultimate)</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EDF30BE"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95 500 L</w:t>
            </w:r>
          </w:p>
        </w:tc>
      </w:tr>
      <w:tr w:rsidR="009D63B9" w:rsidRPr="00150AFC" w14:paraId="732C5C56" w14:textId="77777777" w:rsidTr="00D3120E">
        <w:trPr>
          <w:trHeight w:val="406"/>
          <w:jc w:val="center"/>
        </w:trPr>
        <w:tc>
          <w:tcPr>
            <w:tcW w:w="2561" w:type="dxa"/>
            <w:tcBorders>
              <w:top w:val="single" w:sz="4" w:space="0" w:color="000000"/>
              <w:left w:val="single" w:sz="8"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2F1AA92F" w14:textId="12AEEBE6"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lastRenderedPageBreak/>
              <w:t>GASOIL</w:t>
            </w:r>
          </w:p>
        </w:tc>
        <w:tc>
          <w:tcPr>
            <w:tcW w:w="4375" w:type="dxa"/>
            <w:tcBorders>
              <w:top w:val="single" w:sz="4" w:space="0" w:color="000000"/>
              <w:left w:val="single" w:sz="4"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2CD930BD" w14:textId="26D35A55" w:rsidR="009D63B9" w:rsidRPr="00150AFC" w:rsidRDefault="009D63B9" w:rsidP="00D3120E">
            <w:pPr>
              <w:jc w:val="left"/>
              <w:rPr>
                <w:rFonts w:ascii="Open Sans" w:hAnsi="Open Sans" w:cs="Open Sans"/>
                <w:sz w:val="18"/>
                <w:szCs w:val="18"/>
              </w:rPr>
            </w:pPr>
            <w:r w:rsidRPr="00150AFC">
              <w:rPr>
                <w:rFonts w:ascii="Open Sans" w:hAnsi="Open Sans" w:cs="Open Sans"/>
                <w:sz w:val="18"/>
                <w:szCs w:val="18"/>
              </w:rPr>
              <w:t>Gazole moteur additivé (diesel)</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32F9323"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205 000 L</w:t>
            </w:r>
          </w:p>
        </w:tc>
      </w:tr>
      <w:tr w:rsidR="009D63B9" w:rsidRPr="00150AFC" w14:paraId="6C6F2C32" w14:textId="77777777" w:rsidTr="00D3120E">
        <w:trPr>
          <w:trHeight w:val="328"/>
          <w:jc w:val="center"/>
        </w:trPr>
        <w:tc>
          <w:tcPr>
            <w:tcW w:w="2561" w:type="dxa"/>
            <w:tcBorders>
              <w:top w:val="single" w:sz="4" w:space="0" w:color="000000"/>
              <w:left w:val="single" w:sz="8"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07DF390B"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SUPER 95</w:t>
            </w:r>
          </w:p>
        </w:tc>
        <w:tc>
          <w:tcPr>
            <w:tcW w:w="4375" w:type="dxa"/>
            <w:tcBorders>
              <w:top w:val="single" w:sz="4" w:space="0" w:color="000000"/>
              <w:left w:val="single" w:sz="4"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199C20C2" w14:textId="77777777" w:rsidR="009D63B9" w:rsidRPr="00150AFC" w:rsidRDefault="009D63B9" w:rsidP="00D3120E">
            <w:pPr>
              <w:jc w:val="left"/>
              <w:rPr>
                <w:rFonts w:ascii="Open Sans" w:hAnsi="Open Sans" w:cs="Open Sans"/>
                <w:sz w:val="18"/>
                <w:szCs w:val="18"/>
              </w:rPr>
            </w:pPr>
            <w:r w:rsidRPr="00150AFC">
              <w:rPr>
                <w:rFonts w:ascii="Open Sans" w:hAnsi="Open Sans" w:cs="Open Sans"/>
                <w:sz w:val="18"/>
                <w:szCs w:val="18"/>
              </w:rPr>
              <w:t>Super sans plomb 95 (95-E5)</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5A16A14"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5 550 L</w:t>
            </w:r>
          </w:p>
        </w:tc>
      </w:tr>
      <w:tr w:rsidR="009D63B9" w:rsidRPr="00150AFC" w14:paraId="3879C79F" w14:textId="77777777" w:rsidTr="00D3120E">
        <w:trPr>
          <w:trHeight w:val="328"/>
          <w:jc w:val="center"/>
        </w:trPr>
        <w:tc>
          <w:tcPr>
            <w:tcW w:w="2561" w:type="dxa"/>
            <w:tcBorders>
              <w:top w:val="single" w:sz="4" w:space="0" w:color="000000"/>
              <w:left w:val="single" w:sz="8"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7FFF7D6F"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SP98</w:t>
            </w:r>
          </w:p>
        </w:tc>
        <w:tc>
          <w:tcPr>
            <w:tcW w:w="4375" w:type="dxa"/>
            <w:tcBorders>
              <w:top w:val="single" w:sz="4" w:space="0" w:color="000000"/>
              <w:left w:val="single" w:sz="4"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077C1486" w14:textId="77777777" w:rsidR="009D63B9" w:rsidRPr="00150AFC" w:rsidRDefault="009D63B9" w:rsidP="00D3120E">
            <w:pPr>
              <w:jc w:val="left"/>
              <w:rPr>
                <w:rFonts w:ascii="Open Sans" w:hAnsi="Open Sans" w:cs="Open Sans"/>
                <w:sz w:val="18"/>
                <w:szCs w:val="18"/>
              </w:rPr>
            </w:pPr>
            <w:r w:rsidRPr="00150AFC">
              <w:rPr>
                <w:rFonts w:ascii="Open Sans" w:hAnsi="Open Sans" w:cs="Open Sans"/>
                <w:sz w:val="18"/>
                <w:szCs w:val="18"/>
              </w:rPr>
              <w:t>Super 98 (benzine/essence 98)</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E2BFC45"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10 350 L</w:t>
            </w:r>
          </w:p>
        </w:tc>
      </w:tr>
      <w:tr w:rsidR="009D63B9" w:rsidRPr="00150AFC" w14:paraId="3B912DDF" w14:textId="77777777" w:rsidTr="00D3120E">
        <w:trPr>
          <w:trHeight w:val="328"/>
          <w:jc w:val="center"/>
        </w:trPr>
        <w:tc>
          <w:tcPr>
            <w:tcW w:w="2561" w:type="dxa"/>
            <w:tcBorders>
              <w:top w:val="single" w:sz="4" w:space="0" w:color="000000"/>
              <w:left w:val="single" w:sz="8"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32EBEF76"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GPL</w:t>
            </w:r>
          </w:p>
        </w:tc>
        <w:tc>
          <w:tcPr>
            <w:tcW w:w="4375" w:type="dxa"/>
            <w:tcBorders>
              <w:top w:val="single" w:sz="4" w:space="0" w:color="000000"/>
              <w:left w:val="single" w:sz="4"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204E4D66" w14:textId="77777777" w:rsidR="009D63B9" w:rsidRPr="00150AFC" w:rsidRDefault="009D63B9" w:rsidP="00D3120E">
            <w:pPr>
              <w:jc w:val="left"/>
              <w:rPr>
                <w:rFonts w:ascii="Open Sans" w:hAnsi="Open Sans" w:cs="Open Sans"/>
                <w:sz w:val="18"/>
                <w:szCs w:val="18"/>
              </w:rPr>
            </w:pPr>
            <w:r w:rsidRPr="00150AFC">
              <w:rPr>
                <w:rFonts w:ascii="Open Sans" w:hAnsi="Open Sans" w:cs="Open Sans"/>
                <w:sz w:val="18"/>
                <w:szCs w:val="18"/>
              </w:rPr>
              <w:t>GPL</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6FBF920"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200 L</w:t>
            </w:r>
          </w:p>
        </w:tc>
      </w:tr>
      <w:tr w:rsidR="009D63B9" w:rsidRPr="00150AFC" w14:paraId="11234FD4" w14:textId="77777777" w:rsidTr="00D3120E">
        <w:trPr>
          <w:trHeight w:val="328"/>
          <w:jc w:val="center"/>
        </w:trPr>
        <w:tc>
          <w:tcPr>
            <w:tcW w:w="2561" w:type="dxa"/>
            <w:tcBorders>
              <w:top w:val="single" w:sz="4" w:space="0" w:color="000000"/>
              <w:left w:val="single" w:sz="8"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4B99978E" w14:textId="77777777" w:rsidR="009D63B9" w:rsidRPr="00150AFC" w:rsidRDefault="009D63B9" w:rsidP="00485924">
            <w:pPr>
              <w:jc w:val="center"/>
              <w:rPr>
                <w:rFonts w:ascii="Open Sans" w:hAnsi="Open Sans" w:cs="Open Sans"/>
                <w:sz w:val="18"/>
                <w:szCs w:val="18"/>
              </w:rPr>
            </w:pPr>
            <w:r w:rsidRPr="00150AFC">
              <w:rPr>
                <w:rFonts w:ascii="Open Sans" w:hAnsi="Open Sans" w:cs="Open Sans"/>
                <w:sz w:val="18"/>
                <w:szCs w:val="18"/>
              </w:rPr>
              <w:t>Recharge électrique</w:t>
            </w:r>
          </w:p>
        </w:tc>
        <w:tc>
          <w:tcPr>
            <w:tcW w:w="4375" w:type="dxa"/>
            <w:tcBorders>
              <w:top w:val="single" w:sz="4" w:space="0" w:color="000000"/>
              <w:left w:val="single" w:sz="4" w:space="0" w:color="000000"/>
              <w:bottom w:val="single" w:sz="4" w:space="0" w:color="000000"/>
              <w:right w:val="single" w:sz="4" w:space="0" w:color="000000"/>
            </w:tcBorders>
            <w:shd w:val="clear" w:color="auto" w:fill="auto"/>
            <w:noWrap/>
            <w:tcMar>
              <w:top w:w="13" w:type="dxa"/>
              <w:left w:w="13" w:type="dxa"/>
              <w:bottom w:w="0" w:type="dxa"/>
              <w:right w:w="13" w:type="dxa"/>
            </w:tcMar>
            <w:vAlign w:val="center"/>
          </w:tcPr>
          <w:p w14:paraId="5E5810BB" w14:textId="77777777" w:rsidR="009D63B9" w:rsidRPr="00150AFC" w:rsidRDefault="009D63B9" w:rsidP="00D3120E">
            <w:pPr>
              <w:jc w:val="left"/>
              <w:rPr>
                <w:rFonts w:ascii="Open Sans" w:hAnsi="Open Sans" w:cs="Open Sans"/>
                <w:sz w:val="18"/>
                <w:szCs w:val="18"/>
              </w:rPr>
            </w:pPr>
            <w:r w:rsidRPr="00150AFC">
              <w:rPr>
                <w:rFonts w:ascii="Open Sans" w:hAnsi="Open Sans" w:cs="Open Sans"/>
                <w:sz w:val="18"/>
                <w:szCs w:val="18"/>
              </w:rPr>
              <w:t>Recharge électrique</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386B038" w14:textId="45C4CCCB" w:rsidR="009D63B9" w:rsidRPr="00150AFC" w:rsidRDefault="00D3120E" w:rsidP="00485924">
            <w:pPr>
              <w:jc w:val="center"/>
              <w:rPr>
                <w:rFonts w:ascii="Open Sans" w:hAnsi="Open Sans" w:cs="Open Sans"/>
                <w:sz w:val="18"/>
                <w:szCs w:val="18"/>
              </w:rPr>
            </w:pPr>
            <w:r w:rsidRPr="00150AFC">
              <w:rPr>
                <w:rFonts w:ascii="Open Sans" w:hAnsi="Open Sans" w:cs="Open Sans"/>
                <w:sz w:val="18"/>
                <w:szCs w:val="18"/>
              </w:rPr>
              <w:t>4 000 KW</w:t>
            </w:r>
          </w:p>
        </w:tc>
      </w:tr>
    </w:tbl>
    <w:p w14:paraId="25B5DBA3" w14:textId="77777777" w:rsidR="00D3120E" w:rsidRPr="00150AFC" w:rsidRDefault="00D3120E" w:rsidP="00827E57">
      <w:pPr>
        <w:rPr>
          <w:rFonts w:ascii="Open Sans" w:hAnsi="Open Sans" w:cs="Open Sans"/>
          <w:sz w:val="18"/>
          <w:szCs w:val="18"/>
        </w:rPr>
      </w:pPr>
    </w:p>
    <w:p w14:paraId="69092D26" w14:textId="2010205A" w:rsidR="00827E57" w:rsidRPr="00150AFC" w:rsidRDefault="00827E57" w:rsidP="00827E57">
      <w:pPr>
        <w:rPr>
          <w:rFonts w:ascii="Open Sans" w:hAnsi="Open Sans" w:cs="Open Sans"/>
          <w:sz w:val="18"/>
          <w:szCs w:val="18"/>
        </w:rPr>
      </w:pPr>
      <w:r w:rsidRPr="00150AFC">
        <w:rPr>
          <w:rFonts w:ascii="Open Sans" w:hAnsi="Open Sans" w:cs="Open Sans"/>
          <w:sz w:val="18"/>
          <w:szCs w:val="18"/>
        </w:rPr>
        <w:t>D’autres types de carburants peuvent être couverts par le marché ou rajoutés en cours d’exécution.</w:t>
      </w:r>
    </w:p>
    <w:p w14:paraId="1E400CA6" w14:textId="4133C7E8" w:rsidR="00227BDB" w:rsidRPr="00150AFC" w:rsidRDefault="00150AFC" w:rsidP="00D3120E">
      <w:pPr>
        <w:pStyle w:val="Titre2"/>
        <w:rPr>
          <w:rFonts w:ascii="Open Sans" w:hAnsi="Open Sans"/>
        </w:rPr>
      </w:pPr>
      <w:bookmarkStart w:id="11" w:name="_Toc211526465"/>
      <w:r w:rsidRPr="00150AFC">
        <w:rPr>
          <w:rFonts w:ascii="Open Sans" w:hAnsi="Open Sans"/>
        </w:rPr>
        <w:t xml:space="preserve">ARTICLE 5 : </w:t>
      </w:r>
      <w:r w:rsidR="00227BDB" w:rsidRPr="00150AFC">
        <w:rPr>
          <w:rFonts w:ascii="Open Sans" w:hAnsi="Open Sans"/>
        </w:rPr>
        <w:t>SPECIFICATIONS TECHNIQUES DES PRODUITS</w:t>
      </w:r>
      <w:bookmarkEnd w:id="9"/>
      <w:bookmarkEnd w:id="10"/>
      <w:bookmarkEnd w:id="11"/>
    </w:p>
    <w:p w14:paraId="3B5AA79D" w14:textId="4BF2AD28" w:rsidR="007E113C" w:rsidRPr="00150AFC" w:rsidRDefault="007E113C" w:rsidP="007E113C">
      <w:pPr>
        <w:rPr>
          <w:rFonts w:ascii="Open Sans" w:hAnsi="Open Sans" w:cs="Open Sans"/>
          <w:sz w:val="18"/>
          <w:szCs w:val="18"/>
        </w:rPr>
      </w:pPr>
      <w:bookmarkStart w:id="12" w:name="_Toc128193585"/>
      <w:bookmarkStart w:id="13" w:name="_Toc130915643"/>
      <w:r w:rsidRPr="00150AFC">
        <w:rPr>
          <w:rFonts w:ascii="Open Sans" w:hAnsi="Open Sans" w:cs="Open Sans"/>
          <w:sz w:val="18"/>
          <w:szCs w:val="18"/>
        </w:rPr>
        <w:t xml:space="preserve">La fourniture porte d’une part sur des carburants à enlever directement aux pompes des stations-service, </w:t>
      </w:r>
      <w:r w:rsidR="009D63B9" w:rsidRPr="00150AFC">
        <w:rPr>
          <w:rFonts w:ascii="Open Sans" w:hAnsi="Open Sans" w:cs="Open Sans"/>
          <w:sz w:val="18"/>
          <w:szCs w:val="18"/>
        </w:rPr>
        <w:t>de</w:t>
      </w:r>
      <w:r w:rsidR="00505F26" w:rsidRPr="00150AFC">
        <w:rPr>
          <w:rFonts w:ascii="Open Sans" w:hAnsi="Open Sans" w:cs="Open Sans"/>
          <w:sz w:val="18"/>
          <w:szCs w:val="18"/>
        </w:rPr>
        <w:t xml:space="preserve"> la</w:t>
      </w:r>
      <w:r w:rsidR="009D63B9" w:rsidRPr="00150AFC">
        <w:rPr>
          <w:rFonts w:ascii="Open Sans" w:hAnsi="Open Sans" w:cs="Open Sans"/>
          <w:sz w:val="18"/>
          <w:szCs w:val="18"/>
        </w:rPr>
        <w:t xml:space="preserve"> prestation de recharge électrique</w:t>
      </w:r>
      <w:r w:rsidR="00505F26" w:rsidRPr="00150AFC">
        <w:rPr>
          <w:rFonts w:ascii="Open Sans" w:hAnsi="Open Sans" w:cs="Open Sans"/>
          <w:sz w:val="18"/>
          <w:szCs w:val="18"/>
        </w:rPr>
        <w:t xml:space="preserve"> à travers les bornes de recharge </w:t>
      </w:r>
      <w:r w:rsidRPr="00150AFC">
        <w:rPr>
          <w:rFonts w:ascii="Open Sans" w:hAnsi="Open Sans" w:cs="Open Sans"/>
          <w:sz w:val="18"/>
          <w:szCs w:val="18"/>
        </w:rPr>
        <w:t>par l’usage de cartes accréditives, et d’autre part, sur la délivrance et le suivi d’utilisation des cartes.</w:t>
      </w:r>
    </w:p>
    <w:p w14:paraId="1FDCF540" w14:textId="5A82CE0E" w:rsidR="007E113C" w:rsidRPr="00150AFC" w:rsidRDefault="007E113C" w:rsidP="007E113C">
      <w:pPr>
        <w:rPr>
          <w:rFonts w:ascii="Open Sans" w:hAnsi="Open Sans" w:cs="Open Sans"/>
          <w:sz w:val="18"/>
          <w:szCs w:val="18"/>
        </w:rPr>
      </w:pPr>
    </w:p>
    <w:p w14:paraId="15911843" w14:textId="0036D492" w:rsidR="00CB6CEA" w:rsidRPr="00150AFC" w:rsidRDefault="00D3120E" w:rsidP="00D3120E">
      <w:pPr>
        <w:pStyle w:val="Titre2"/>
        <w:rPr>
          <w:rFonts w:ascii="Open Sans" w:hAnsi="Open Sans"/>
        </w:rPr>
      </w:pPr>
      <w:bookmarkStart w:id="14" w:name="_Toc211526466"/>
      <w:r w:rsidRPr="00150AFC">
        <w:rPr>
          <w:rFonts w:ascii="Open Sans" w:hAnsi="Open Sans"/>
          <w:caps w:val="0"/>
        </w:rPr>
        <w:t xml:space="preserve">5.1. </w:t>
      </w:r>
      <w:r w:rsidR="00150AFC" w:rsidRPr="00150AFC">
        <w:rPr>
          <w:rFonts w:ascii="Open Sans" w:hAnsi="Open Sans"/>
          <w:caps w:val="0"/>
        </w:rPr>
        <w:t>Périmètre</w:t>
      </w:r>
      <w:r w:rsidRPr="00150AFC">
        <w:rPr>
          <w:rFonts w:ascii="Open Sans" w:hAnsi="Open Sans"/>
          <w:caps w:val="0"/>
        </w:rPr>
        <w:t xml:space="preserve"> de la prestation lie a l’utilisation et </w:t>
      </w:r>
      <w:r w:rsidR="00150AFC" w:rsidRPr="00150AFC">
        <w:rPr>
          <w:rFonts w:ascii="Open Sans" w:hAnsi="Open Sans"/>
          <w:caps w:val="0"/>
        </w:rPr>
        <w:t>contrôle</w:t>
      </w:r>
      <w:r w:rsidRPr="00150AFC">
        <w:rPr>
          <w:rFonts w:ascii="Open Sans" w:hAnsi="Open Sans"/>
          <w:caps w:val="0"/>
        </w:rPr>
        <w:t xml:space="preserve"> des cartes carburantes :</w:t>
      </w:r>
      <w:bookmarkEnd w:id="14"/>
    </w:p>
    <w:p w14:paraId="4B6D233E" w14:textId="4D9C095A" w:rsidR="00CB6CEA" w:rsidRPr="00150AFC" w:rsidRDefault="00CB6CEA" w:rsidP="007E113C">
      <w:pPr>
        <w:rPr>
          <w:rFonts w:ascii="Open Sans" w:hAnsi="Open Sans" w:cs="Open Sans"/>
          <w:sz w:val="18"/>
          <w:szCs w:val="18"/>
        </w:rPr>
      </w:pPr>
      <w:r w:rsidRPr="00150AFC">
        <w:rPr>
          <w:rFonts w:ascii="Open Sans" w:hAnsi="Open Sans" w:cs="Open Sans"/>
          <w:sz w:val="18"/>
          <w:szCs w:val="18"/>
        </w:rPr>
        <w:t>Le nombre de cartes carburant est estimées à 15</w:t>
      </w:r>
      <w:r w:rsidR="00505F26" w:rsidRPr="00150AFC">
        <w:rPr>
          <w:rFonts w:ascii="Open Sans" w:hAnsi="Open Sans" w:cs="Open Sans"/>
          <w:sz w:val="18"/>
          <w:szCs w:val="18"/>
        </w:rPr>
        <w:t>50</w:t>
      </w:r>
      <w:r w:rsidRPr="00150AFC">
        <w:rPr>
          <w:rFonts w:ascii="Open Sans" w:hAnsi="Open Sans" w:cs="Open Sans"/>
          <w:sz w:val="18"/>
          <w:szCs w:val="18"/>
        </w:rPr>
        <w:t xml:space="preserve"> sur toute la durée du marché.</w:t>
      </w:r>
    </w:p>
    <w:p w14:paraId="38746410" w14:textId="3C7D1EE1" w:rsidR="00CB6CEA" w:rsidRPr="00150AFC" w:rsidRDefault="00CB6CEA" w:rsidP="007E113C">
      <w:pPr>
        <w:rPr>
          <w:rFonts w:ascii="Open Sans" w:hAnsi="Open Sans" w:cs="Open Sans"/>
          <w:sz w:val="18"/>
          <w:szCs w:val="18"/>
        </w:rPr>
      </w:pPr>
    </w:p>
    <w:p w14:paraId="27167123" w14:textId="6DC5D216" w:rsidR="00CB6CEA" w:rsidRPr="00150AFC" w:rsidRDefault="00CB6CEA" w:rsidP="007E113C">
      <w:pPr>
        <w:rPr>
          <w:rFonts w:ascii="Open Sans" w:hAnsi="Open Sans" w:cs="Open Sans"/>
          <w:sz w:val="18"/>
          <w:szCs w:val="18"/>
        </w:rPr>
      </w:pPr>
      <w:r w:rsidRPr="00150AFC">
        <w:rPr>
          <w:rFonts w:ascii="Open Sans" w:hAnsi="Open Sans" w:cs="Open Sans"/>
          <w:sz w:val="18"/>
          <w:szCs w:val="18"/>
        </w:rPr>
        <w:t>Durant l’exécution du marché, le fournisseur aura à assurer :</w:t>
      </w:r>
    </w:p>
    <w:p w14:paraId="591981D0" w14:textId="5CC4DBFC" w:rsidR="00CB6CEA" w:rsidRPr="00150AFC" w:rsidRDefault="00CB6CEA" w:rsidP="007E113C">
      <w:pPr>
        <w:rPr>
          <w:rFonts w:ascii="Open Sans" w:hAnsi="Open Sans" w:cs="Open Sans"/>
          <w:sz w:val="18"/>
          <w:szCs w:val="18"/>
        </w:rPr>
      </w:pPr>
    </w:p>
    <w:p w14:paraId="07383C20" w14:textId="0DD97266" w:rsidR="00CB6CEA" w:rsidRPr="00150AFC" w:rsidRDefault="00706C10" w:rsidP="00CB6CEA">
      <w:pPr>
        <w:pStyle w:val="Paragraphedeliste"/>
        <w:numPr>
          <w:ilvl w:val="0"/>
          <w:numId w:val="8"/>
        </w:numPr>
        <w:rPr>
          <w:rFonts w:ascii="Open Sans" w:hAnsi="Open Sans" w:cs="Open Sans"/>
          <w:sz w:val="18"/>
          <w:szCs w:val="18"/>
        </w:rPr>
      </w:pPr>
      <w:r w:rsidRPr="00150AFC">
        <w:rPr>
          <w:rFonts w:ascii="Open Sans" w:hAnsi="Open Sans" w:cs="Open Sans"/>
          <w:sz w:val="18"/>
          <w:szCs w:val="18"/>
        </w:rPr>
        <w:t>Une prestation d’accompagnement au moment du déploiement des cartes ;</w:t>
      </w:r>
    </w:p>
    <w:p w14:paraId="57111848" w14:textId="2A864628" w:rsidR="00706C10" w:rsidRPr="00150AFC" w:rsidRDefault="00706C10" w:rsidP="00CB6CEA">
      <w:pPr>
        <w:pStyle w:val="Paragraphedeliste"/>
        <w:numPr>
          <w:ilvl w:val="0"/>
          <w:numId w:val="8"/>
        </w:numPr>
        <w:rPr>
          <w:rFonts w:ascii="Open Sans" w:hAnsi="Open Sans" w:cs="Open Sans"/>
          <w:sz w:val="18"/>
          <w:szCs w:val="18"/>
        </w:rPr>
      </w:pPr>
      <w:r w:rsidRPr="00150AFC">
        <w:rPr>
          <w:rFonts w:ascii="Open Sans" w:hAnsi="Open Sans" w:cs="Open Sans"/>
          <w:sz w:val="18"/>
          <w:szCs w:val="18"/>
        </w:rPr>
        <w:t>Une assistance technique ;</w:t>
      </w:r>
    </w:p>
    <w:p w14:paraId="7C3E24E0" w14:textId="22FE1F1E" w:rsidR="00706C10" w:rsidRPr="00150AFC" w:rsidRDefault="00706C10" w:rsidP="00CB6CEA">
      <w:pPr>
        <w:pStyle w:val="Paragraphedeliste"/>
        <w:numPr>
          <w:ilvl w:val="0"/>
          <w:numId w:val="8"/>
        </w:numPr>
        <w:rPr>
          <w:rFonts w:ascii="Open Sans" w:hAnsi="Open Sans" w:cs="Open Sans"/>
          <w:sz w:val="18"/>
          <w:szCs w:val="18"/>
        </w:rPr>
      </w:pPr>
      <w:r w:rsidRPr="00150AFC">
        <w:rPr>
          <w:rFonts w:ascii="Open Sans" w:hAnsi="Open Sans" w:cs="Open Sans"/>
          <w:sz w:val="18"/>
          <w:szCs w:val="18"/>
        </w:rPr>
        <w:t>La mise à disposition d’un outil de communication permettant d’assurer les correspondances (messagerie sécurisée, plateforme sécurisée de visualisation des relevés d’opérations bancaires) ;</w:t>
      </w:r>
    </w:p>
    <w:p w14:paraId="5A254303" w14:textId="4C6ADDE7" w:rsidR="00706C10" w:rsidRPr="00150AFC" w:rsidRDefault="00706C10" w:rsidP="00706C10">
      <w:pPr>
        <w:pStyle w:val="Paragraphedeliste"/>
        <w:numPr>
          <w:ilvl w:val="0"/>
          <w:numId w:val="8"/>
        </w:numPr>
        <w:rPr>
          <w:rFonts w:ascii="Open Sans" w:hAnsi="Open Sans" w:cs="Open Sans"/>
          <w:sz w:val="18"/>
          <w:szCs w:val="18"/>
        </w:rPr>
      </w:pPr>
      <w:r w:rsidRPr="00150AFC">
        <w:rPr>
          <w:rFonts w:ascii="Open Sans" w:hAnsi="Open Sans" w:cs="Open Sans"/>
          <w:sz w:val="18"/>
          <w:szCs w:val="18"/>
        </w:rPr>
        <w:t>Les informations collectées par le titulaire sur le porteur de la carte se limitent à des informations strictement nécessaires à la délivrance et à la gestion de la carte ;</w:t>
      </w:r>
    </w:p>
    <w:p w14:paraId="787E7D05" w14:textId="5033AF72" w:rsidR="00706C10" w:rsidRPr="00150AFC" w:rsidRDefault="00706C10" w:rsidP="00CB6CEA">
      <w:pPr>
        <w:pStyle w:val="Paragraphedeliste"/>
        <w:numPr>
          <w:ilvl w:val="0"/>
          <w:numId w:val="8"/>
        </w:numPr>
        <w:rPr>
          <w:rFonts w:ascii="Open Sans" w:hAnsi="Open Sans" w:cs="Open Sans"/>
          <w:sz w:val="18"/>
          <w:szCs w:val="18"/>
        </w:rPr>
      </w:pPr>
      <w:r w:rsidRPr="00150AFC">
        <w:rPr>
          <w:rFonts w:ascii="Open Sans" w:hAnsi="Open Sans" w:cs="Open Sans"/>
          <w:sz w:val="18"/>
          <w:szCs w:val="18"/>
        </w:rPr>
        <w:t>Le titulaire se conforme aux dispositions de la loi Informatique et Liberté du 6 janvier 1978 </w:t>
      </w:r>
      <w:r w:rsidR="001418D9" w:rsidRPr="00150AFC">
        <w:rPr>
          <w:rFonts w:ascii="Open Sans" w:hAnsi="Open Sans" w:cs="Open Sans"/>
          <w:sz w:val="18"/>
          <w:szCs w:val="18"/>
        </w:rPr>
        <w:t xml:space="preserve">et au RGPD </w:t>
      </w:r>
      <w:r w:rsidRPr="00150AFC">
        <w:rPr>
          <w:rFonts w:ascii="Open Sans" w:hAnsi="Open Sans" w:cs="Open Sans"/>
          <w:sz w:val="18"/>
          <w:szCs w:val="18"/>
        </w:rPr>
        <w:t>;</w:t>
      </w:r>
    </w:p>
    <w:p w14:paraId="0BFE8A77" w14:textId="02E8947F" w:rsidR="00CB6CEA" w:rsidRPr="00150AFC" w:rsidRDefault="0058347A" w:rsidP="00CF3A02">
      <w:pPr>
        <w:pStyle w:val="Paragraphedeliste"/>
        <w:numPr>
          <w:ilvl w:val="0"/>
          <w:numId w:val="8"/>
        </w:numPr>
        <w:rPr>
          <w:rFonts w:ascii="Open Sans" w:hAnsi="Open Sans" w:cs="Open Sans"/>
          <w:sz w:val="18"/>
          <w:szCs w:val="18"/>
        </w:rPr>
      </w:pPr>
      <w:r w:rsidRPr="00150AFC">
        <w:rPr>
          <w:rFonts w:ascii="Open Sans" w:hAnsi="Open Sans" w:cs="Open Sans"/>
          <w:sz w:val="18"/>
          <w:szCs w:val="18"/>
        </w:rPr>
        <w:t>Le titulaire</w:t>
      </w:r>
      <w:r w:rsidR="00706C10" w:rsidRPr="00150AFC">
        <w:rPr>
          <w:rFonts w:ascii="Open Sans" w:hAnsi="Open Sans" w:cs="Open Sans"/>
          <w:sz w:val="18"/>
          <w:szCs w:val="18"/>
        </w:rPr>
        <w:t xml:space="preserve"> prévoit un service d’opposition à l’utilisation des cartes </w:t>
      </w:r>
      <w:r w:rsidRPr="00150AFC">
        <w:rPr>
          <w:rFonts w:ascii="Open Sans" w:hAnsi="Open Sans" w:cs="Open Sans"/>
          <w:sz w:val="18"/>
          <w:szCs w:val="18"/>
        </w:rPr>
        <w:t>carburant</w:t>
      </w:r>
      <w:r w:rsidR="00706C10" w:rsidRPr="00150AFC">
        <w:rPr>
          <w:rFonts w:ascii="Open Sans" w:hAnsi="Open Sans" w:cs="Open Sans"/>
          <w:sz w:val="18"/>
          <w:szCs w:val="18"/>
        </w:rPr>
        <w:t>, en cas de perte, de vol ou d’utilisation frauduleuse de l’une des cartes ou des données liées à son utilisation.</w:t>
      </w:r>
    </w:p>
    <w:p w14:paraId="1A713C00" w14:textId="77777777" w:rsidR="00CB6CEA" w:rsidRPr="00150AFC" w:rsidRDefault="00CB6CEA" w:rsidP="007E113C">
      <w:pPr>
        <w:rPr>
          <w:rFonts w:ascii="Open Sans" w:hAnsi="Open Sans" w:cs="Open Sans"/>
          <w:sz w:val="18"/>
          <w:szCs w:val="18"/>
        </w:rPr>
      </w:pPr>
    </w:p>
    <w:p w14:paraId="524519C9" w14:textId="00A353A7" w:rsidR="0056306C" w:rsidRPr="00150AFC" w:rsidRDefault="00150AFC" w:rsidP="00D3120E">
      <w:pPr>
        <w:pStyle w:val="Titre2"/>
        <w:rPr>
          <w:rFonts w:ascii="Open Sans" w:hAnsi="Open Sans"/>
        </w:rPr>
      </w:pPr>
      <w:bookmarkStart w:id="15" w:name="_Toc211526467"/>
      <w:r w:rsidRPr="00150AFC">
        <w:rPr>
          <w:rFonts w:ascii="Open Sans" w:hAnsi="Open Sans"/>
          <w:caps w:val="0"/>
        </w:rPr>
        <w:t>5.2. Le relevé d’opérations d’utilisation de la carte</w:t>
      </w:r>
      <w:bookmarkEnd w:id="15"/>
    </w:p>
    <w:p w14:paraId="0637ACCA" w14:textId="1DA2C7C8" w:rsidR="0056306C" w:rsidRPr="00150AFC" w:rsidRDefault="0056306C" w:rsidP="007E113C">
      <w:pPr>
        <w:rPr>
          <w:rFonts w:ascii="Open Sans" w:hAnsi="Open Sans" w:cs="Open Sans"/>
          <w:sz w:val="18"/>
          <w:szCs w:val="18"/>
        </w:rPr>
      </w:pPr>
      <w:r w:rsidRPr="00150AFC">
        <w:rPr>
          <w:rFonts w:ascii="Open Sans" w:hAnsi="Open Sans" w:cs="Open Sans"/>
          <w:sz w:val="18"/>
          <w:szCs w:val="18"/>
        </w:rPr>
        <w:t>Le titulaire transmet un relevé d’opérations mensuel ainsi qu’un relevé annuel de synthèse des opérations à la structure administrative de rattachement du porteur précisée lors de la demande de carte.</w:t>
      </w:r>
    </w:p>
    <w:p w14:paraId="3E93B241" w14:textId="0054B7D1" w:rsidR="0056306C" w:rsidRPr="00150AFC" w:rsidRDefault="0056306C" w:rsidP="0056306C">
      <w:pPr>
        <w:rPr>
          <w:rFonts w:ascii="Open Sans" w:hAnsi="Open Sans" w:cs="Open Sans"/>
          <w:sz w:val="18"/>
          <w:szCs w:val="18"/>
        </w:rPr>
      </w:pPr>
      <w:r w:rsidRPr="00150AFC">
        <w:rPr>
          <w:rFonts w:ascii="Open Sans" w:hAnsi="Open Sans" w:cs="Open Sans"/>
          <w:sz w:val="18"/>
          <w:szCs w:val="18"/>
        </w:rPr>
        <w:t>Ces relevés sont fournis uniquement dans un format électronique permettant de réaliser des tris par porteur, par catégorie de dépense, par type d’opération et par structure administrative de rattachement.</w:t>
      </w:r>
    </w:p>
    <w:p w14:paraId="4D1C740A" w14:textId="77777777" w:rsidR="00853201" w:rsidRPr="00150AFC" w:rsidRDefault="00853201" w:rsidP="0056306C">
      <w:pPr>
        <w:rPr>
          <w:rFonts w:ascii="Open Sans" w:hAnsi="Open Sans" w:cs="Open Sans"/>
          <w:sz w:val="18"/>
          <w:szCs w:val="18"/>
        </w:rPr>
      </w:pPr>
    </w:p>
    <w:p w14:paraId="524F0940" w14:textId="6A7A59EC" w:rsidR="00896EF0" w:rsidRPr="00150AFC" w:rsidRDefault="0056306C" w:rsidP="0056306C">
      <w:pPr>
        <w:rPr>
          <w:rFonts w:ascii="Open Sans" w:hAnsi="Open Sans" w:cs="Open Sans"/>
          <w:sz w:val="18"/>
          <w:szCs w:val="18"/>
        </w:rPr>
      </w:pPr>
      <w:r w:rsidRPr="00150AFC">
        <w:rPr>
          <w:rFonts w:ascii="Open Sans" w:hAnsi="Open Sans" w:cs="Open Sans"/>
          <w:sz w:val="18"/>
          <w:szCs w:val="18"/>
        </w:rPr>
        <w:t>Le relevé mensuel d’opérations est transmis au plus tard le 15 du mois suivant. Le relevé annuel de synthèse des opérations est transmis au plus tard le dernier jour du mois suivant la fin de l’année civile.</w:t>
      </w:r>
    </w:p>
    <w:p w14:paraId="0A3A7076" w14:textId="77777777" w:rsidR="00896EF0" w:rsidRPr="00150AFC" w:rsidRDefault="00896EF0" w:rsidP="0056306C">
      <w:pPr>
        <w:rPr>
          <w:rFonts w:ascii="Open Sans" w:hAnsi="Open Sans" w:cs="Open Sans"/>
          <w:sz w:val="18"/>
          <w:szCs w:val="18"/>
        </w:rPr>
      </w:pPr>
    </w:p>
    <w:p w14:paraId="2F3C8B6E" w14:textId="77777777" w:rsidR="0056306C" w:rsidRPr="00150AFC" w:rsidRDefault="0056306C" w:rsidP="0056306C">
      <w:pPr>
        <w:rPr>
          <w:rFonts w:ascii="Open Sans" w:hAnsi="Open Sans" w:cs="Open Sans"/>
          <w:sz w:val="18"/>
          <w:szCs w:val="18"/>
        </w:rPr>
      </w:pPr>
      <w:r w:rsidRPr="00150AFC">
        <w:rPr>
          <w:rFonts w:ascii="Open Sans" w:hAnsi="Open Sans" w:cs="Open Sans"/>
          <w:sz w:val="18"/>
          <w:szCs w:val="18"/>
        </w:rPr>
        <w:t>Le relevé mensuel des opérations contient à minima :</w:t>
      </w:r>
    </w:p>
    <w:p w14:paraId="40BDBEFF" w14:textId="77777777" w:rsidR="0056306C" w:rsidRPr="00150AFC" w:rsidRDefault="0056306C" w:rsidP="0056306C">
      <w:pPr>
        <w:pStyle w:val="Paragraphedeliste"/>
        <w:numPr>
          <w:ilvl w:val="0"/>
          <w:numId w:val="9"/>
        </w:numPr>
        <w:rPr>
          <w:rFonts w:ascii="Open Sans" w:hAnsi="Open Sans" w:cs="Open Sans"/>
          <w:sz w:val="18"/>
          <w:szCs w:val="18"/>
        </w:rPr>
      </w:pPr>
      <w:r w:rsidRPr="00150AFC">
        <w:rPr>
          <w:rFonts w:ascii="Open Sans" w:hAnsi="Open Sans" w:cs="Open Sans"/>
          <w:sz w:val="18"/>
          <w:szCs w:val="18"/>
        </w:rPr>
        <w:t>Numéro de carte</w:t>
      </w:r>
    </w:p>
    <w:p w14:paraId="4A5513C7" w14:textId="77777777" w:rsidR="0056306C" w:rsidRPr="00150AFC" w:rsidRDefault="0056306C" w:rsidP="0056306C">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t xml:space="preserve">Numéro d’identification de l’entité </w:t>
      </w:r>
    </w:p>
    <w:p w14:paraId="3CE49CA6" w14:textId="77777777" w:rsidR="0056306C" w:rsidRPr="00150AFC" w:rsidRDefault="0056306C" w:rsidP="0056306C">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t>Nom du porteur de carte</w:t>
      </w:r>
    </w:p>
    <w:p w14:paraId="0B38B4B0" w14:textId="325BE2E7" w:rsidR="0056306C" w:rsidRPr="00150AFC" w:rsidRDefault="0056306C" w:rsidP="00853201">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t>Date de la co</w:t>
      </w:r>
      <w:r w:rsidR="00853201" w:rsidRPr="00150AFC">
        <w:rPr>
          <w:rFonts w:ascii="Open Sans" w:hAnsi="Open Sans" w:cs="Open Sans"/>
          <w:sz w:val="18"/>
          <w:szCs w:val="18"/>
        </w:rPr>
        <w:t>mmande</w:t>
      </w:r>
    </w:p>
    <w:p w14:paraId="19787505" w14:textId="77777777" w:rsidR="0056306C" w:rsidRPr="00150AFC" w:rsidRDefault="0056306C" w:rsidP="0056306C">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lastRenderedPageBreak/>
        <w:t>Montant HT, TVA et TTC de la commande.</w:t>
      </w:r>
    </w:p>
    <w:p w14:paraId="3D2DF352" w14:textId="16565401" w:rsidR="0056306C" w:rsidRPr="00150AFC" w:rsidRDefault="0056306C" w:rsidP="0056306C">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t>L’objet de la dépense</w:t>
      </w:r>
    </w:p>
    <w:p w14:paraId="08E16975" w14:textId="034E1C53" w:rsidR="00827E57" w:rsidRPr="00150AFC" w:rsidRDefault="00827E57" w:rsidP="0056306C">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t>Le type de véhicule, la marque, l’immatriculation</w:t>
      </w:r>
    </w:p>
    <w:p w14:paraId="66A14330" w14:textId="37D6C174" w:rsidR="00827E57" w:rsidRPr="00150AFC" w:rsidRDefault="00827E57" w:rsidP="0056306C">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t>Lieu d’approvisionnement</w:t>
      </w:r>
    </w:p>
    <w:p w14:paraId="5438904C" w14:textId="77777777" w:rsidR="00827E57" w:rsidRPr="00150AFC" w:rsidRDefault="00827E57" w:rsidP="00827E57">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t>Date et heure</w:t>
      </w:r>
    </w:p>
    <w:p w14:paraId="44C85383" w14:textId="74E7D65B" w:rsidR="00827E57" w:rsidRPr="00150AFC" w:rsidRDefault="00827E57" w:rsidP="0056306C">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t>Type de carburant, produits et ou services achetés</w:t>
      </w:r>
    </w:p>
    <w:p w14:paraId="08D6F69C" w14:textId="2AD94CEE" w:rsidR="0056306C" w:rsidRPr="00150AFC" w:rsidRDefault="00827E57" w:rsidP="00D66CDC">
      <w:pPr>
        <w:pStyle w:val="Paragraphedeliste"/>
        <w:numPr>
          <w:ilvl w:val="0"/>
          <w:numId w:val="9"/>
        </w:numPr>
        <w:ind w:left="777" w:hanging="357"/>
        <w:rPr>
          <w:rFonts w:ascii="Open Sans" w:hAnsi="Open Sans" w:cs="Open Sans"/>
          <w:sz w:val="18"/>
          <w:szCs w:val="18"/>
        </w:rPr>
      </w:pPr>
      <w:r w:rsidRPr="00150AFC">
        <w:rPr>
          <w:rFonts w:ascii="Open Sans" w:hAnsi="Open Sans" w:cs="Open Sans"/>
          <w:sz w:val="18"/>
          <w:szCs w:val="18"/>
        </w:rPr>
        <w:t>Nom du fournisseur /débiteur</w:t>
      </w:r>
    </w:p>
    <w:p w14:paraId="468F66DB" w14:textId="7029C307" w:rsidR="00021811" w:rsidRPr="00150AFC" w:rsidRDefault="00150AFC" w:rsidP="00D3120E">
      <w:pPr>
        <w:pStyle w:val="Titre2"/>
        <w:rPr>
          <w:rFonts w:ascii="Open Sans" w:hAnsi="Open Sans"/>
        </w:rPr>
      </w:pPr>
      <w:bookmarkStart w:id="16" w:name="_Toc211526468"/>
      <w:r w:rsidRPr="00150AFC">
        <w:rPr>
          <w:rFonts w:ascii="Open Sans" w:hAnsi="Open Sans"/>
          <w:caps w:val="0"/>
        </w:rPr>
        <w:t xml:space="preserve">5.3. </w:t>
      </w:r>
      <w:r>
        <w:rPr>
          <w:rFonts w:ascii="Open Sans" w:hAnsi="Open Sans"/>
          <w:caps w:val="0"/>
        </w:rPr>
        <w:t>C</w:t>
      </w:r>
      <w:r w:rsidRPr="00150AFC">
        <w:rPr>
          <w:rFonts w:ascii="Open Sans" w:hAnsi="Open Sans"/>
          <w:caps w:val="0"/>
        </w:rPr>
        <w:t>ontrôle et identification des cartes :</w:t>
      </w:r>
      <w:bookmarkEnd w:id="16"/>
    </w:p>
    <w:p w14:paraId="7BBBA4D2" w14:textId="6E69B493" w:rsidR="000408BD" w:rsidRPr="00150AFC" w:rsidRDefault="000408BD" w:rsidP="000408BD">
      <w:pPr>
        <w:rPr>
          <w:rFonts w:ascii="Open Sans" w:hAnsi="Open Sans" w:cs="Open Sans"/>
          <w:sz w:val="18"/>
          <w:szCs w:val="18"/>
        </w:rPr>
      </w:pPr>
      <w:r w:rsidRPr="00150AFC">
        <w:rPr>
          <w:rFonts w:ascii="Open Sans" w:hAnsi="Open Sans" w:cs="Open Sans"/>
          <w:sz w:val="18"/>
          <w:szCs w:val="18"/>
        </w:rPr>
        <w:t xml:space="preserve">Par principe, la configuration des cartes accréditives doit être réduite au minima à l’approvisionnement en carburant ou en recharge électrique. </w:t>
      </w:r>
    </w:p>
    <w:p w14:paraId="2A395C18" w14:textId="77777777" w:rsidR="000408BD" w:rsidRPr="00150AFC" w:rsidRDefault="000408BD" w:rsidP="000408BD">
      <w:pPr>
        <w:rPr>
          <w:rFonts w:ascii="Open Sans" w:hAnsi="Open Sans" w:cs="Open Sans"/>
          <w:sz w:val="18"/>
          <w:szCs w:val="18"/>
        </w:rPr>
      </w:pPr>
    </w:p>
    <w:p w14:paraId="53D75626" w14:textId="0AF8F718" w:rsidR="00021811" w:rsidRPr="00150AFC" w:rsidRDefault="00021811" w:rsidP="00021811">
      <w:pPr>
        <w:pStyle w:val="Paragraphedeliste"/>
        <w:numPr>
          <w:ilvl w:val="0"/>
          <w:numId w:val="8"/>
        </w:numPr>
        <w:rPr>
          <w:rFonts w:ascii="Open Sans" w:hAnsi="Open Sans" w:cs="Open Sans"/>
          <w:sz w:val="18"/>
          <w:szCs w:val="18"/>
          <w:u w:val="single"/>
        </w:rPr>
      </w:pPr>
      <w:r w:rsidRPr="00150AFC">
        <w:rPr>
          <w:rFonts w:ascii="Open Sans" w:hAnsi="Open Sans" w:cs="Open Sans"/>
          <w:b/>
          <w:sz w:val="18"/>
          <w:szCs w:val="18"/>
          <w:u w:val="single"/>
        </w:rPr>
        <w:t>Pour le contrôle de l’utilisation des cartes, les cartes doivent intégrer </w:t>
      </w:r>
      <w:r w:rsidRPr="00150AFC">
        <w:rPr>
          <w:rFonts w:ascii="Open Sans" w:hAnsi="Open Sans" w:cs="Open Sans"/>
          <w:sz w:val="18"/>
          <w:szCs w:val="18"/>
          <w:u w:val="single"/>
        </w:rPr>
        <w:t>:</w:t>
      </w:r>
    </w:p>
    <w:p w14:paraId="0710D4A9" w14:textId="77777777" w:rsidR="00021811" w:rsidRPr="00150AFC" w:rsidRDefault="00021811" w:rsidP="00021811">
      <w:pPr>
        <w:rPr>
          <w:rFonts w:ascii="Open Sans" w:hAnsi="Open Sans" w:cs="Open Sans"/>
          <w:sz w:val="18"/>
          <w:szCs w:val="18"/>
          <w:u w:val="single"/>
        </w:rPr>
      </w:pPr>
    </w:p>
    <w:p w14:paraId="2BBB1D9B" w14:textId="77777777" w:rsidR="00021811" w:rsidRPr="00150AFC" w:rsidRDefault="00021811" w:rsidP="00021811">
      <w:pPr>
        <w:pStyle w:val="Paragraphedeliste"/>
        <w:numPr>
          <w:ilvl w:val="0"/>
          <w:numId w:val="5"/>
        </w:numPr>
        <w:rPr>
          <w:rFonts w:ascii="Open Sans" w:hAnsi="Open Sans" w:cs="Open Sans"/>
          <w:sz w:val="18"/>
          <w:szCs w:val="18"/>
        </w:rPr>
      </w:pPr>
      <w:r w:rsidRPr="00150AFC">
        <w:rPr>
          <w:rFonts w:ascii="Open Sans" w:hAnsi="Open Sans" w:cs="Open Sans"/>
          <w:sz w:val="18"/>
          <w:szCs w:val="18"/>
        </w:rPr>
        <w:t>Des éléments indispensables à l’identification du preneur de carburant par rapport au véhicule   approvisionné.</w:t>
      </w:r>
    </w:p>
    <w:p w14:paraId="446B7E5A" w14:textId="77777777" w:rsidR="00021811" w:rsidRPr="00150AFC" w:rsidRDefault="00021811" w:rsidP="00021811">
      <w:pPr>
        <w:pStyle w:val="Paragraphedeliste"/>
        <w:numPr>
          <w:ilvl w:val="0"/>
          <w:numId w:val="5"/>
        </w:numPr>
        <w:rPr>
          <w:rFonts w:ascii="Open Sans" w:hAnsi="Open Sans" w:cs="Open Sans"/>
          <w:sz w:val="18"/>
          <w:szCs w:val="18"/>
        </w:rPr>
      </w:pPr>
      <w:r w:rsidRPr="00150AFC">
        <w:rPr>
          <w:rFonts w:ascii="Open Sans" w:hAnsi="Open Sans" w:cs="Open Sans"/>
          <w:sz w:val="18"/>
          <w:szCs w:val="18"/>
        </w:rPr>
        <w:t>Une période de validité inscrite sur le bon de commande et qui ne peut en aucun cas être supérieure à la durée de validité du marché</w:t>
      </w:r>
    </w:p>
    <w:p w14:paraId="6ADB21A1" w14:textId="77777777" w:rsidR="00021811" w:rsidRPr="00150AFC" w:rsidRDefault="00021811" w:rsidP="00021811">
      <w:pPr>
        <w:pStyle w:val="Paragraphedeliste"/>
        <w:numPr>
          <w:ilvl w:val="0"/>
          <w:numId w:val="5"/>
        </w:numPr>
        <w:rPr>
          <w:rFonts w:ascii="Open Sans" w:hAnsi="Open Sans" w:cs="Open Sans"/>
          <w:sz w:val="18"/>
          <w:szCs w:val="18"/>
        </w:rPr>
      </w:pPr>
      <w:r w:rsidRPr="00150AFC">
        <w:rPr>
          <w:rFonts w:ascii="Open Sans" w:hAnsi="Open Sans" w:cs="Open Sans"/>
          <w:sz w:val="18"/>
          <w:szCs w:val="18"/>
        </w:rPr>
        <w:t>Un contrôle de cohérence entre consommation et kilométrage</w:t>
      </w:r>
    </w:p>
    <w:p w14:paraId="73A5FCA5" w14:textId="77777777" w:rsidR="00021811" w:rsidRPr="00150AFC" w:rsidRDefault="00021811" w:rsidP="00021811">
      <w:pPr>
        <w:rPr>
          <w:rFonts w:ascii="Open Sans" w:hAnsi="Open Sans" w:cs="Open Sans"/>
          <w:sz w:val="18"/>
          <w:szCs w:val="18"/>
        </w:rPr>
      </w:pPr>
    </w:p>
    <w:p w14:paraId="41DA3A28" w14:textId="3ACB597D" w:rsidR="00021811" w:rsidRPr="00150AFC" w:rsidRDefault="00021811" w:rsidP="00021811">
      <w:pPr>
        <w:pStyle w:val="Paragraphedeliste"/>
        <w:numPr>
          <w:ilvl w:val="0"/>
          <w:numId w:val="6"/>
        </w:numPr>
        <w:rPr>
          <w:rFonts w:ascii="Open Sans" w:hAnsi="Open Sans" w:cs="Open Sans"/>
          <w:sz w:val="18"/>
          <w:szCs w:val="18"/>
          <w:u w:val="single"/>
        </w:rPr>
      </w:pPr>
      <w:r w:rsidRPr="00150AFC">
        <w:rPr>
          <w:rFonts w:ascii="Open Sans" w:hAnsi="Open Sans" w:cs="Open Sans"/>
          <w:b/>
          <w:sz w:val="18"/>
          <w:szCs w:val="18"/>
          <w:u w:val="single"/>
        </w:rPr>
        <w:t>Les possibilités d’identification des cartes et les modes de fonctionnement sont les suivantes</w:t>
      </w:r>
      <w:r w:rsidRPr="00150AFC">
        <w:rPr>
          <w:rFonts w:ascii="Open Sans" w:hAnsi="Open Sans" w:cs="Open Sans"/>
          <w:sz w:val="18"/>
          <w:szCs w:val="18"/>
          <w:u w:val="single"/>
        </w:rPr>
        <w:t> :</w:t>
      </w:r>
    </w:p>
    <w:p w14:paraId="6BF5DFE1" w14:textId="77777777" w:rsidR="00021811" w:rsidRPr="00150AFC" w:rsidRDefault="00021811" w:rsidP="00021811">
      <w:pPr>
        <w:rPr>
          <w:rFonts w:ascii="Open Sans" w:hAnsi="Open Sans" w:cs="Open Sans"/>
          <w:sz w:val="18"/>
          <w:szCs w:val="18"/>
          <w:u w:val="single"/>
        </w:rPr>
      </w:pPr>
    </w:p>
    <w:p w14:paraId="529AA24A" w14:textId="6E472F16" w:rsidR="00021811" w:rsidRPr="00150AFC" w:rsidRDefault="00021811" w:rsidP="005621FB">
      <w:pPr>
        <w:pStyle w:val="Paragraphedeliste"/>
        <w:numPr>
          <w:ilvl w:val="0"/>
          <w:numId w:val="10"/>
        </w:numPr>
        <w:rPr>
          <w:rFonts w:ascii="Open Sans" w:hAnsi="Open Sans" w:cs="Open Sans"/>
          <w:sz w:val="18"/>
          <w:szCs w:val="18"/>
        </w:rPr>
      </w:pPr>
      <w:r w:rsidRPr="00150AFC">
        <w:rPr>
          <w:rFonts w:ascii="Open Sans" w:hAnsi="Open Sans" w:cs="Open Sans"/>
          <w:b/>
          <w:sz w:val="18"/>
          <w:szCs w:val="18"/>
        </w:rPr>
        <w:t>Code confidentiel contrôlé automatiquement en station par le terminal de paiement </w:t>
      </w:r>
      <w:r w:rsidRPr="00150AFC">
        <w:rPr>
          <w:rFonts w:ascii="Open Sans" w:hAnsi="Open Sans" w:cs="Open Sans"/>
          <w:sz w:val="18"/>
          <w:szCs w:val="18"/>
        </w:rPr>
        <w:t>:</w:t>
      </w:r>
    </w:p>
    <w:p w14:paraId="1150CBED" w14:textId="77777777" w:rsidR="00021811" w:rsidRPr="00150AFC" w:rsidRDefault="00021811" w:rsidP="00021811">
      <w:pPr>
        <w:numPr>
          <w:ilvl w:val="1"/>
          <w:numId w:val="2"/>
        </w:numPr>
        <w:rPr>
          <w:rFonts w:ascii="Open Sans" w:hAnsi="Open Sans" w:cs="Open Sans"/>
          <w:sz w:val="18"/>
          <w:szCs w:val="18"/>
        </w:rPr>
      </w:pPr>
      <w:r w:rsidRPr="00150AFC">
        <w:rPr>
          <w:rFonts w:ascii="Open Sans" w:hAnsi="Open Sans" w:cs="Open Sans"/>
          <w:sz w:val="18"/>
          <w:szCs w:val="18"/>
        </w:rPr>
        <w:t>Code confidentiel pour un ensemble de cartes et un ensemble de conducteurs</w:t>
      </w:r>
    </w:p>
    <w:p w14:paraId="63ABEACF" w14:textId="77777777" w:rsidR="00021811" w:rsidRPr="00150AFC" w:rsidRDefault="00021811" w:rsidP="00021811">
      <w:pPr>
        <w:numPr>
          <w:ilvl w:val="1"/>
          <w:numId w:val="2"/>
        </w:numPr>
        <w:rPr>
          <w:rFonts w:ascii="Open Sans" w:hAnsi="Open Sans" w:cs="Open Sans"/>
          <w:sz w:val="18"/>
          <w:szCs w:val="18"/>
        </w:rPr>
      </w:pPr>
      <w:r w:rsidRPr="00150AFC">
        <w:rPr>
          <w:rFonts w:ascii="Open Sans" w:hAnsi="Open Sans" w:cs="Open Sans"/>
          <w:sz w:val="18"/>
          <w:szCs w:val="18"/>
        </w:rPr>
        <w:t>Code confidentiel par carte pour un ensemble de conducteurs</w:t>
      </w:r>
    </w:p>
    <w:p w14:paraId="555BEB61" w14:textId="77777777" w:rsidR="00021811" w:rsidRPr="00150AFC" w:rsidRDefault="00021811" w:rsidP="00021811">
      <w:pPr>
        <w:numPr>
          <w:ilvl w:val="1"/>
          <w:numId w:val="2"/>
        </w:numPr>
        <w:rPr>
          <w:rFonts w:ascii="Open Sans" w:hAnsi="Open Sans" w:cs="Open Sans"/>
          <w:sz w:val="18"/>
          <w:szCs w:val="18"/>
        </w:rPr>
      </w:pPr>
      <w:r w:rsidRPr="00150AFC">
        <w:rPr>
          <w:rFonts w:ascii="Open Sans" w:hAnsi="Open Sans" w:cs="Open Sans"/>
          <w:sz w:val="18"/>
          <w:szCs w:val="18"/>
        </w:rPr>
        <w:t>Code confidentiel par conducteur pour un ensemble de cartes</w:t>
      </w:r>
    </w:p>
    <w:p w14:paraId="4261BC75" w14:textId="02FAB29F" w:rsidR="00021811" w:rsidRPr="00150AFC" w:rsidRDefault="00021811" w:rsidP="005621FB">
      <w:pPr>
        <w:pStyle w:val="Paragraphedeliste"/>
        <w:numPr>
          <w:ilvl w:val="0"/>
          <w:numId w:val="10"/>
        </w:numPr>
        <w:rPr>
          <w:rFonts w:ascii="Open Sans" w:hAnsi="Open Sans" w:cs="Open Sans"/>
          <w:sz w:val="18"/>
          <w:szCs w:val="18"/>
        </w:rPr>
      </w:pPr>
      <w:r w:rsidRPr="00150AFC">
        <w:rPr>
          <w:rFonts w:ascii="Open Sans" w:hAnsi="Open Sans" w:cs="Open Sans"/>
          <w:b/>
          <w:sz w:val="18"/>
          <w:szCs w:val="18"/>
        </w:rPr>
        <w:t>Usage possible de la carte</w:t>
      </w:r>
      <w:r w:rsidRPr="00150AFC">
        <w:rPr>
          <w:rFonts w:ascii="Open Sans" w:hAnsi="Open Sans" w:cs="Open Sans"/>
          <w:sz w:val="18"/>
          <w:szCs w:val="18"/>
        </w:rPr>
        <w:t> :</w:t>
      </w:r>
    </w:p>
    <w:p w14:paraId="3A87B4A3" w14:textId="77777777" w:rsidR="00021811" w:rsidRPr="00150AFC" w:rsidRDefault="00021811" w:rsidP="00021811">
      <w:pPr>
        <w:numPr>
          <w:ilvl w:val="1"/>
          <w:numId w:val="3"/>
        </w:numPr>
        <w:rPr>
          <w:rFonts w:ascii="Open Sans" w:hAnsi="Open Sans" w:cs="Open Sans"/>
          <w:sz w:val="18"/>
          <w:szCs w:val="18"/>
        </w:rPr>
      </w:pPr>
      <w:r w:rsidRPr="00150AFC">
        <w:rPr>
          <w:rFonts w:ascii="Open Sans" w:hAnsi="Open Sans" w:cs="Open Sans"/>
          <w:sz w:val="18"/>
          <w:szCs w:val="18"/>
        </w:rPr>
        <w:t>Un seul carburant</w:t>
      </w:r>
    </w:p>
    <w:p w14:paraId="0329ACC8" w14:textId="77777777" w:rsidR="00021811" w:rsidRPr="00150AFC" w:rsidRDefault="00021811" w:rsidP="00021811">
      <w:pPr>
        <w:numPr>
          <w:ilvl w:val="1"/>
          <w:numId w:val="3"/>
        </w:numPr>
        <w:rPr>
          <w:rFonts w:ascii="Open Sans" w:hAnsi="Open Sans" w:cs="Open Sans"/>
          <w:sz w:val="18"/>
          <w:szCs w:val="18"/>
        </w:rPr>
      </w:pPr>
      <w:r w:rsidRPr="00150AFC">
        <w:rPr>
          <w:rFonts w:ascii="Open Sans" w:hAnsi="Open Sans" w:cs="Open Sans"/>
          <w:sz w:val="18"/>
          <w:szCs w:val="18"/>
        </w:rPr>
        <w:t>Plusieurs carburants</w:t>
      </w:r>
    </w:p>
    <w:p w14:paraId="70D626C8" w14:textId="7D1752F2" w:rsidR="00021811" w:rsidRPr="00150AFC" w:rsidRDefault="00021811" w:rsidP="00021811">
      <w:pPr>
        <w:numPr>
          <w:ilvl w:val="1"/>
          <w:numId w:val="3"/>
        </w:numPr>
        <w:rPr>
          <w:rFonts w:ascii="Open Sans" w:hAnsi="Open Sans" w:cs="Open Sans"/>
          <w:sz w:val="18"/>
          <w:szCs w:val="18"/>
        </w:rPr>
      </w:pPr>
      <w:r w:rsidRPr="00150AFC">
        <w:rPr>
          <w:rFonts w:ascii="Open Sans" w:hAnsi="Open Sans" w:cs="Open Sans"/>
          <w:sz w:val="18"/>
          <w:szCs w:val="18"/>
        </w:rPr>
        <w:t>Services (lavage, atelier, parking et péages)</w:t>
      </w:r>
    </w:p>
    <w:p w14:paraId="02D611B8" w14:textId="6D4F27D9" w:rsidR="00827E57" w:rsidRPr="00150AFC" w:rsidRDefault="00827E57" w:rsidP="00021811">
      <w:pPr>
        <w:numPr>
          <w:ilvl w:val="1"/>
          <w:numId w:val="3"/>
        </w:numPr>
        <w:rPr>
          <w:rFonts w:ascii="Open Sans" w:hAnsi="Open Sans" w:cs="Open Sans"/>
          <w:sz w:val="18"/>
          <w:szCs w:val="18"/>
        </w:rPr>
      </w:pPr>
      <w:r w:rsidRPr="00150AFC">
        <w:rPr>
          <w:rFonts w:ascii="Open Sans" w:hAnsi="Open Sans" w:cs="Open Sans"/>
          <w:sz w:val="18"/>
          <w:szCs w:val="18"/>
        </w:rPr>
        <w:t>Achat de fournitures automobiles limités spécifiquement aux fluides techniques (liquide de refroidissement, liquide lave glace, huile moteur, AdBlue)</w:t>
      </w:r>
    </w:p>
    <w:p w14:paraId="629AB45A" w14:textId="77777777" w:rsidR="00021811" w:rsidRPr="00150AFC" w:rsidRDefault="00021811" w:rsidP="00021811">
      <w:pPr>
        <w:numPr>
          <w:ilvl w:val="1"/>
          <w:numId w:val="3"/>
        </w:numPr>
        <w:rPr>
          <w:rFonts w:ascii="Open Sans" w:hAnsi="Open Sans" w:cs="Open Sans"/>
          <w:sz w:val="18"/>
          <w:szCs w:val="18"/>
        </w:rPr>
      </w:pPr>
      <w:r w:rsidRPr="00150AFC">
        <w:rPr>
          <w:rFonts w:ascii="Open Sans" w:hAnsi="Open Sans" w:cs="Open Sans"/>
          <w:sz w:val="18"/>
          <w:szCs w:val="18"/>
        </w:rPr>
        <w:t>Combinaisons des usages précédents</w:t>
      </w:r>
    </w:p>
    <w:p w14:paraId="6405CE9D" w14:textId="77777777" w:rsidR="00021811" w:rsidRPr="00150AFC" w:rsidRDefault="00021811" w:rsidP="00021811">
      <w:pPr>
        <w:rPr>
          <w:rFonts w:ascii="Open Sans" w:hAnsi="Open Sans" w:cs="Open Sans"/>
          <w:sz w:val="18"/>
          <w:szCs w:val="18"/>
        </w:rPr>
      </w:pPr>
    </w:p>
    <w:tbl>
      <w:tblPr>
        <w:tblStyle w:val="Grilledutableau"/>
        <w:tblW w:w="0" w:type="auto"/>
        <w:tblLook w:val="04A0" w:firstRow="1" w:lastRow="0" w:firstColumn="1" w:lastColumn="0" w:noHBand="0" w:noVBand="1"/>
      </w:tblPr>
      <w:tblGrid>
        <w:gridCol w:w="9061"/>
      </w:tblGrid>
      <w:tr w:rsidR="00021811" w:rsidRPr="00150AFC" w14:paraId="75102E6F" w14:textId="77777777" w:rsidTr="00387D69">
        <w:tc>
          <w:tcPr>
            <w:tcW w:w="9061" w:type="dxa"/>
          </w:tcPr>
          <w:p w14:paraId="4DD448C8" w14:textId="77777777" w:rsidR="00021811" w:rsidRPr="00150AFC" w:rsidRDefault="00021811" w:rsidP="00387D69">
            <w:pPr>
              <w:jc w:val="center"/>
              <w:rPr>
                <w:rFonts w:ascii="Open Sans" w:hAnsi="Open Sans" w:cs="Open Sans"/>
                <w:b/>
                <w:color w:val="FF0000"/>
                <w:sz w:val="18"/>
                <w:szCs w:val="18"/>
              </w:rPr>
            </w:pPr>
            <w:r w:rsidRPr="00150AFC">
              <w:rPr>
                <w:rFonts w:ascii="Open Sans" w:hAnsi="Open Sans" w:cs="Open Sans"/>
                <w:b/>
                <w:color w:val="FF0000"/>
                <w:sz w:val="18"/>
                <w:szCs w:val="18"/>
              </w:rPr>
              <w:t xml:space="preserve"> Attention : </w:t>
            </w:r>
          </w:p>
          <w:p w14:paraId="63F90223" w14:textId="77777777" w:rsidR="00021811" w:rsidRPr="00150AFC" w:rsidRDefault="00021811" w:rsidP="00387D69">
            <w:pPr>
              <w:jc w:val="center"/>
              <w:rPr>
                <w:rFonts w:ascii="Open Sans" w:hAnsi="Open Sans" w:cs="Open Sans"/>
                <w:b/>
                <w:color w:val="FF0000"/>
                <w:sz w:val="18"/>
                <w:szCs w:val="18"/>
              </w:rPr>
            </w:pPr>
            <w:r w:rsidRPr="00150AFC">
              <w:rPr>
                <w:rFonts w:ascii="Open Sans" w:hAnsi="Open Sans" w:cs="Open Sans"/>
                <w:b/>
                <w:color w:val="FF0000"/>
                <w:sz w:val="18"/>
                <w:szCs w:val="18"/>
              </w:rPr>
              <w:t>En aucun cas, la carte ne devra servir à l’achat de fournitures de boutique type sandwiches.</w:t>
            </w:r>
          </w:p>
          <w:p w14:paraId="62D3DE9E" w14:textId="77777777" w:rsidR="00021811" w:rsidRPr="00150AFC" w:rsidRDefault="00021811" w:rsidP="00387D69">
            <w:pPr>
              <w:jc w:val="center"/>
              <w:rPr>
                <w:rFonts w:ascii="Open Sans" w:hAnsi="Open Sans" w:cs="Open Sans"/>
                <w:b/>
                <w:sz w:val="18"/>
                <w:szCs w:val="18"/>
              </w:rPr>
            </w:pPr>
          </w:p>
        </w:tc>
      </w:tr>
    </w:tbl>
    <w:p w14:paraId="08D24CC4" w14:textId="77777777" w:rsidR="00021811" w:rsidRPr="00150AFC" w:rsidRDefault="00021811" w:rsidP="00021811">
      <w:pPr>
        <w:rPr>
          <w:rFonts w:ascii="Open Sans" w:hAnsi="Open Sans" w:cs="Open Sans"/>
          <w:sz w:val="18"/>
          <w:szCs w:val="18"/>
          <w:u w:val="single"/>
        </w:rPr>
      </w:pPr>
    </w:p>
    <w:p w14:paraId="06D7B92C" w14:textId="77777777" w:rsidR="00021811" w:rsidRPr="00150AFC" w:rsidRDefault="00021811" w:rsidP="00021811">
      <w:pPr>
        <w:rPr>
          <w:rFonts w:ascii="Open Sans" w:hAnsi="Open Sans" w:cs="Open Sans"/>
          <w:sz w:val="18"/>
          <w:szCs w:val="18"/>
        </w:rPr>
      </w:pPr>
      <w:r w:rsidRPr="00150AFC">
        <w:rPr>
          <w:rFonts w:ascii="Open Sans" w:hAnsi="Open Sans" w:cs="Open Sans"/>
          <w:sz w:val="18"/>
          <w:szCs w:val="18"/>
        </w:rPr>
        <w:t>Un contrôle minimal des transactions réalisées par les utilisateurs devra être possible au travers d’outils informatiques mis à disposition par le titulaire du marché aux services économiques des établissements de l’AP-HP.</w:t>
      </w:r>
    </w:p>
    <w:p w14:paraId="1CE788C8" w14:textId="77777777" w:rsidR="00021811" w:rsidRPr="00150AFC" w:rsidRDefault="00021811" w:rsidP="00021811">
      <w:pPr>
        <w:rPr>
          <w:rFonts w:ascii="Open Sans" w:hAnsi="Open Sans" w:cs="Open Sans"/>
          <w:sz w:val="18"/>
          <w:szCs w:val="18"/>
        </w:rPr>
      </w:pPr>
    </w:p>
    <w:p w14:paraId="7977122E" w14:textId="77777777" w:rsidR="00021811" w:rsidRPr="00150AFC" w:rsidRDefault="00021811" w:rsidP="00021811">
      <w:pPr>
        <w:rPr>
          <w:rFonts w:ascii="Open Sans" w:hAnsi="Open Sans" w:cs="Open Sans"/>
          <w:sz w:val="18"/>
          <w:szCs w:val="18"/>
        </w:rPr>
      </w:pPr>
      <w:r w:rsidRPr="00150AFC">
        <w:rPr>
          <w:rFonts w:ascii="Open Sans" w:hAnsi="Open Sans" w:cs="Open Sans"/>
          <w:sz w:val="18"/>
          <w:szCs w:val="18"/>
        </w:rPr>
        <w:t>A chaque prise de carburant un bon est délivré en station.</w:t>
      </w:r>
    </w:p>
    <w:p w14:paraId="68017162" w14:textId="77777777" w:rsidR="00021811" w:rsidRPr="00150AFC" w:rsidRDefault="00021811" w:rsidP="00021811">
      <w:pPr>
        <w:rPr>
          <w:rFonts w:ascii="Open Sans" w:hAnsi="Open Sans" w:cs="Open Sans"/>
          <w:sz w:val="18"/>
          <w:szCs w:val="18"/>
        </w:rPr>
      </w:pPr>
    </w:p>
    <w:p w14:paraId="1A67B46A" w14:textId="77777777" w:rsidR="00021811" w:rsidRPr="00150AFC" w:rsidRDefault="00021811" w:rsidP="00021811">
      <w:pPr>
        <w:rPr>
          <w:rFonts w:ascii="Open Sans" w:hAnsi="Open Sans" w:cs="Open Sans"/>
          <w:sz w:val="18"/>
          <w:szCs w:val="18"/>
          <w:u w:val="single"/>
        </w:rPr>
      </w:pPr>
      <w:r w:rsidRPr="00150AFC">
        <w:rPr>
          <w:rFonts w:ascii="Open Sans" w:hAnsi="Open Sans" w:cs="Open Sans"/>
          <w:b/>
          <w:sz w:val="18"/>
          <w:szCs w:val="18"/>
          <w:u w:val="single"/>
        </w:rPr>
        <w:t>Il comporte les indications suivantes</w:t>
      </w:r>
      <w:r w:rsidRPr="00150AFC">
        <w:rPr>
          <w:rFonts w:ascii="Open Sans" w:hAnsi="Open Sans" w:cs="Open Sans"/>
          <w:sz w:val="18"/>
          <w:szCs w:val="18"/>
          <w:u w:val="single"/>
        </w:rPr>
        <w:t> :</w:t>
      </w:r>
    </w:p>
    <w:p w14:paraId="17810AFF" w14:textId="77777777" w:rsidR="00021811" w:rsidRPr="00150AFC" w:rsidRDefault="00021811" w:rsidP="00021811">
      <w:pPr>
        <w:rPr>
          <w:rFonts w:ascii="Open Sans" w:hAnsi="Open Sans" w:cs="Open Sans"/>
          <w:sz w:val="18"/>
          <w:szCs w:val="18"/>
          <w:u w:val="single"/>
        </w:rPr>
      </w:pPr>
    </w:p>
    <w:p w14:paraId="4C8F8CDC" w14:textId="77777777" w:rsidR="00021811" w:rsidRPr="00150AFC" w:rsidRDefault="00021811" w:rsidP="00021811">
      <w:pPr>
        <w:rPr>
          <w:rFonts w:ascii="Open Sans" w:hAnsi="Open Sans" w:cs="Open Sans"/>
          <w:b/>
          <w:sz w:val="18"/>
          <w:szCs w:val="18"/>
        </w:rPr>
      </w:pPr>
      <w:r w:rsidRPr="00150AFC">
        <w:rPr>
          <w:rFonts w:ascii="Open Sans" w:hAnsi="Open Sans" w:cs="Open Sans"/>
          <w:b/>
          <w:sz w:val="18"/>
          <w:szCs w:val="18"/>
        </w:rPr>
        <w:t>Identification du client / du chauffeur / du véhicule par son numéro minéralogique / kilométrage du véhicule au moment de la prise de carburant / date, heure et lieu de ravitaillement / nature et quantité du produit fourni.</w:t>
      </w:r>
    </w:p>
    <w:p w14:paraId="48B8DBFC" w14:textId="77777777" w:rsidR="00021811" w:rsidRPr="00150AFC" w:rsidRDefault="00021811" w:rsidP="007E113C">
      <w:pPr>
        <w:rPr>
          <w:rFonts w:ascii="Open Sans" w:hAnsi="Open Sans" w:cs="Open Sans"/>
          <w:b/>
          <w:sz w:val="18"/>
          <w:szCs w:val="18"/>
        </w:rPr>
      </w:pPr>
    </w:p>
    <w:p w14:paraId="6E4E734E" w14:textId="4F42B8BB" w:rsidR="00CB6CEA" w:rsidRPr="00150AFC" w:rsidRDefault="00150AFC" w:rsidP="00D3120E">
      <w:pPr>
        <w:pStyle w:val="Titre2"/>
        <w:rPr>
          <w:rFonts w:ascii="Open Sans" w:hAnsi="Open Sans"/>
        </w:rPr>
      </w:pPr>
      <w:bookmarkStart w:id="17" w:name="_Toc211526469"/>
      <w:r w:rsidRPr="00150AFC">
        <w:rPr>
          <w:rFonts w:ascii="Open Sans" w:hAnsi="Open Sans"/>
          <w:caps w:val="0"/>
        </w:rPr>
        <w:lastRenderedPageBreak/>
        <w:t xml:space="preserve">5.4. </w:t>
      </w:r>
      <w:r>
        <w:rPr>
          <w:rFonts w:ascii="Open Sans" w:hAnsi="Open Sans"/>
          <w:caps w:val="0"/>
        </w:rPr>
        <w:t>L</w:t>
      </w:r>
      <w:r w:rsidRPr="00150AFC">
        <w:rPr>
          <w:rFonts w:ascii="Open Sans" w:hAnsi="Open Sans"/>
          <w:caps w:val="0"/>
        </w:rPr>
        <w:t>’approvisionnement en carburants et recharge électrique :</w:t>
      </w:r>
      <w:bookmarkEnd w:id="17"/>
      <w:r w:rsidRPr="00150AFC">
        <w:rPr>
          <w:rFonts w:ascii="Open Sans" w:hAnsi="Open Sans"/>
          <w:caps w:val="0"/>
        </w:rPr>
        <w:t xml:space="preserve"> </w:t>
      </w:r>
    </w:p>
    <w:p w14:paraId="7AB9491A" w14:textId="4D13D62C" w:rsidR="007E113C" w:rsidRPr="00150AFC" w:rsidRDefault="007E113C" w:rsidP="007E113C">
      <w:pPr>
        <w:rPr>
          <w:rFonts w:ascii="Open Sans" w:hAnsi="Open Sans" w:cs="Open Sans"/>
          <w:sz w:val="18"/>
          <w:szCs w:val="18"/>
        </w:rPr>
      </w:pPr>
      <w:r w:rsidRPr="00150AFC">
        <w:rPr>
          <w:rFonts w:ascii="Open Sans" w:hAnsi="Open Sans" w:cs="Open Sans"/>
          <w:b/>
          <w:sz w:val="18"/>
          <w:szCs w:val="18"/>
          <w:u w:val="single"/>
        </w:rPr>
        <w:t>Les carburants utilisés sont notamment</w:t>
      </w:r>
      <w:r w:rsidRPr="00150AFC">
        <w:rPr>
          <w:rFonts w:ascii="Open Sans" w:hAnsi="Open Sans" w:cs="Open Sans"/>
          <w:sz w:val="18"/>
          <w:szCs w:val="18"/>
        </w:rPr>
        <w:t> :</w:t>
      </w:r>
    </w:p>
    <w:p w14:paraId="0D0C29D5" w14:textId="77777777" w:rsidR="007E113C" w:rsidRPr="00150AFC" w:rsidRDefault="007E113C" w:rsidP="007E113C">
      <w:pPr>
        <w:rPr>
          <w:rFonts w:ascii="Open Sans" w:hAnsi="Open Sans" w:cs="Open Sans"/>
          <w:sz w:val="18"/>
          <w:szCs w:val="18"/>
        </w:rPr>
      </w:pPr>
    </w:p>
    <w:p w14:paraId="313654C5" w14:textId="7914A5F7" w:rsidR="007E113C" w:rsidRPr="00150AFC" w:rsidRDefault="007E113C" w:rsidP="007E113C">
      <w:pPr>
        <w:rPr>
          <w:rFonts w:ascii="Open Sans" w:hAnsi="Open Sans" w:cs="Open Sans"/>
          <w:sz w:val="18"/>
          <w:szCs w:val="18"/>
        </w:rPr>
      </w:pPr>
      <w:r w:rsidRPr="00150AFC">
        <w:rPr>
          <w:rFonts w:ascii="Open Sans" w:hAnsi="Open Sans" w:cs="Open Sans"/>
          <w:sz w:val="18"/>
          <w:szCs w:val="18"/>
        </w:rPr>
        <w:t>Le supercarburant, le supercarburant sans plomb (95), le supercarburant sans plomb (98), le gazole (moteur) le Diesel (</w:t>
      </w:r>
      <w:r w:rsidR="00CF7D50" w:rsidRPr="00150AFC">
        <w:rPr>
          <w:rFonts w:ascii="Open Sans" w:hAnsi="Open Sans" w:cs="Open Sans"/>
          <w:sz w:val="18"/>
          <w:szCs w:val="18"/>
        </w:rPr>
        <w:t>additivé) et</w:t>
      </w:r>
      <w:r w:rsidRPr="00150AFC">
        <w:rPr>
          <w:rFonts w:ascii="Open Sans" w:hAnsi="Open Sans" w:cs="Open Sans"/>
          <w:sz w:val="18"/>
          <w:szCs w:val="18"/>
        </w:rPr>
        <w:t xml:space="preserve"> le GPL.</w:t>
      </w:r>
    </w:p>
    <w:p w14:paraId="0C5ED9D1" w14:textId="23F5C2F7" w:rsidR="007E113C" w:rsidRPr="00150AFC" w:rsidRDefault="007E113C" w:rsidP="007E113C">
      <w:pPr>
        <w:rPr>
          <w:rFonts w:ascii="Open Sans" w:hAnsi="Open Sans" w:cs="Open Sans"/>
          <w:sz w:val="18"/>
          <w:szCs w:val="18"/>
        </w:rPr>
      </w:pPr>
      <w:r w:rsidRPr="00150AFC">
        <w:rPr>
          <w:rFonts w:ascii="Open Sans" w:hAnsi="Open Sans" w:cs="Open Sans"/>
          <w:sz w:val="18"/>
          <w:szCs w:val="18"/>
        </w:rPr>
        <w:t xml:space="preserve">Le titulaire du marché doit accorder l’accès de son réseau de stations-service </w:t>
      </w:r>
      <w:r w:rsidR="00505F26" w:rsidRPr="00150AFC">
        <w:rPr>
          <w:rFonts w:ascii="Open Sans" w:hAnsi="Open Sans" w:cs="Open Sans"/>
          <w:sz w:val="18"/>
          <w:szCs w:val="18"/>
        </w:rPr>
        <w:t xml:space="preserve">et bornes de recharges électriques </w:t>
      </w:r>
      <w:r w:rsidRPr="00150AFC">
        <w:rPr>
          <w:rFonts w:ascii="Open Sans" w:hAnsi="Open Sans" w:cs="Open Sans"/>
          <w:sz w:val="18"/>
          <w:szCs w:val="18"/>
        </w:rPr>
        <w:t>à tous les véhicules bénéficiaires de cartes accréditives.</w:t>
      </w:r>
    </w:p>
    <w:p w14:paraId="2DD6EF02" w14:textId="27F55EDB" w:rsidR="007E113C" w:rsidRPr="00150AFC" w:rsidRDefault="007E113C" w:rsidP="007E113C">
      <w:pPr>
        <w:rPr>
          <w:rFonts w:ascii="Open Sans" w:hAnsi="Open Sans" w:cs="Open Sans"/>
          <w:sz w:val="18"/>
          <w:szCs w:val="18"/>
        </w:rPr>
      </w:pPr>
      <w:r w:rsidRPr="00150AFC">
        <w:rPr>
          <w:rFonts w:ascii="Open Sans" w:hAnsi="Open Sans" w:cs="Open Sans"/>
          <w:sz w:val="18"/>
          <w:szCs w:val="18"/>
        </w:rPr>
        <w:t xml:space="preserve">Les conducteurs de ces véhicules sont servis en carburant </w:t>
      </w:r>
      <w:r w:rsidR="00505F26" w:rsidRPr="00150AFC">
        <w:rPr>
          <w:rFonts w:ascii="Open Sans" w:hAnsi="Open Sans" w:cs="Open Sans"/>
          <w:sz w:val="18"/>
          <w:szCs w:val="18"/>
        </w:rPr>
        <w:t xml:space="preserve">ou en recharge électrique </w:t>
      </w:r>
      <w:r w:rsidRPr="00150AFC">
        <w:rPr>
          <w:rFonts w:ascii="Open Sans" w:hAnsi="Open Sans" w:cs="Open Sans"/>
          <w:sz w:val="18"/>
          <w:szCs w:val="18"/>
        </w:rPr>
        <w:t>par simple usage de la carte.</w:t>
      </w:r>
    </w:p>
    <w:p w14:paraId="240EE1AA" w14:textId="03227F0A" w:rsidR="00021811" w:rsidRPr="00150AFC" w:rsidRDefault="00021811" w:rsidP="007E113C">
      <w:pPr>
        <w:rPr>
          <w:rFonts w:ascii="Open Sans" w:hAnsi="Open Sans" w:cs="Open Sans"/>
          <w:sz w:val="18"/>
          <w:szCs w:val="18"/>
        </w:rPr>
      </w:pPr>
    </w:p>
    <w:p w14:paraId="66A03BB5" w14:textId="52CF983F" w:rsidR="00021811" w:rsidRPr="00150AFC" w:rsidRDefault="00150AFC" w:rsidP="00D3120E">
      <w:pPr>
        <w:pStyle w:val="Titre2"/>
        <w:rPr>
          <w:rFonts w:ascii="Open Sans" w:hAnsi="Open Sans"/>
        </w:rPr>
      </w:pPr>
      <w:bookmarkStart w:id="18" w:name="_Toc211526470"/>
      <w:bookmarkStart w:id="19" w:name="_Hlk211526215"/>
      <w:r w:rsidRPr="00150AFC">
        <w:rPr>
          <w:rFonts w:ascii="Open Sans" w:hAnsi="Open Sans"/>
          <w:caps w:val="0"/>
        </w:rPr>
        <w:t xml:space="preserve">5.5. </w:t>
      </w:r>
      <w:r>
        <w:rPr>
          <w:rFonts w:ascii="Open Sans" w:hAnsi="Open Sans"/>
          <w:caps w:val="0"/>
        </w:rPr>
        <w:t>L</w:t>
      </w:r>
      <w:r w:rsidRPr="00150AFC">
        <w:rPr>
          <w:rFonts w:ascii="Open Sans" w:hAnsi="Open Sans"/>
          <w:caps w:val="0"/>
        </w:rPr>
        <w:t>es modes de fonctionnement des stations :</w:t>
      </w:r>
      <w:bookmarkEnd w:id="18"/>
    </w:p>
    <w:p w14:paraId="5BF214A9" w14:textId="2B67067F" w:rsidR="00021811" w:rsidRPr="00150AFC" w:rsidRDefault="00021811" w:rsidP="007E113C">
      <w:pPr>
        <w:rPr>
          <w:rFonts w:ascii="Open Sans" w:hAnsi="Open Sans" w:cs="Open Sans"/>
          <w:sz w:val="18"/>
          <w:szCs w:val="18"/>
        </w:rPr>
      </w:pPr>
      <w:r w:rsidRPr="00150AFC">
        <w:rPr>
          <w:rFonts w:ascii="Open Sans" w:hAnsi="Open Sans" w:cs="Open Sans"/>
          <w:sz w:val="18"/>
          <w:szCs w:val="18"/>
        </w:rPr>
        <w:t xml:space="preserve">Les modes de fonctionnement des stations sont : </w:t>
      </w:r>
    </w:p>
    <w:p w14:paraId="64224CC7" w14:textId="77777777" w:rsidR="00CF7D50" w:rsidRPr="00150AFC" w:rsidRDefault="00CF7D50" w:rsidP="007E113C">
      <w:pPr>
        <w:rPr>
          <w:rFonts w:ascii="Open Sans" w:hAnsi="Open Sans" w:cs="Open Sans"/>
          <w:sz w:val="18"/>
          <w:szCs w:val="18"/>
          <w:u w:val="single"/>
        </w:rPr>
      </w:pPr>
    </w:p>
    <w:p w14:paraId="4F623216" w14:textId="6CF44809" w:rsidR="00CF7D50" w:rsidRPr="00150AFC" w:rsidRDefault="00CF7D50" w:rsidP="007E113C">
      <w:pPr>
        <w:pStyle w:val="Paragraphedeliste"/>
        <w:numPr>
          <w:ilvl w:val="0"/>
          <w:numId w:val="4"/>
        </w:numPr>
        <w:rPr>
          <w:rFonts w:ascii="Open Sans" w:hAnsi="Open Sans" w:cs="Open Sans"/>
          <w:sz w:val="18"/>
          <w:szCs w:val="18"/>
        </w:rPr>
      </w:pPr>
      <w:r w:rsidRPr="00150AFC">
        <w:rPr>
          <w:rFonts w:ascii="Open Sans" w:hAnsi="Open Sans" w:cs="Open Sans"/>
          <w:sz w:val="18"/>
          <w:szCs w:val="18"/>
        </w:rPr>
        <w:t>Automatique</w:t>
      </w:r>
      <w:r w:rsidR="007E113C" w:rsidRPr="00150AFC">
        <w:rPr>
          <w:rFonts w:ascii="Open Sans" w:hAnsi="Open Sans" w:cs="Open Sans"/>
          <w:sz w:val="18"/>
          <w:szCs w:val="18"/>
        </w:rPr>
        <w:t>, terminal de paiement relié aux pompes</w:t>
      </w:r>
    </w:p>
    <w:p w14:paraId="0D5F637A" w14:textId="1E431818" w:rsidR="00CF7D50" w:rsidRPr="00150AFC" w:rsidRDefault="00CF7D50" w:rsidP="007E113C">
      <w:pPr>
        <w:pStyle w:val="Paragraphedeliste"/>
        <w:numPr>
          <w:ilvl w:val="0"/>
          <w:numId w:val="4"/>
        </w:numPr>
        <w:rPr>
          <w:rFonts w:ascii="Open Sans" w:hAnsi="Open Sans" w:cs="Open Sans"/>
          <w:sz w:val="18"/>
          <w:szCs w:val="18"/>
        </w:rPr>
      </w:pPr>
      <w:r w:rsidRPr="00150AFC">
        <w:rPr>
          <w:rFonts w:ascii="Open Sans" w:hAnsi="Open Sans" w:cs="Open Sans"/>
          <w:sz w:val="18"/>
          <w:szCs w:val="18"/>
        </w:rPr>
        <w:t>Semi</w:t>
      </w:r>
      <w:r w:rsidR="007E113C" w:rsidRPr="00150AFC">
        <w:rPr>
          <w:rFonts w:ascii="Open Sans" w:hAnsi="Open Sans" w:cs="Open Sans"/>
          <w:sz w:val="18"/>
          <w:szCs w:val="18"/>
        </w:rPr>
        <w:t>-automatique, terminal de paiement non relié aux pompes</w:t>
      </w:r>
    </w:p>
    <w:p w14:paraId="3FCF608C" w14:textId="168E6B88" w:rsidR="007E113C" w:rsidRPr="00150AFC" w:rsidRDefault="007E113C" w:rsidP="007E113C">
      <w:pPr>
        <w:pStyle w:val="Paragraphedeliste"/>
        <w:numPr>
          <w:ilvl w:val="0"/>
          <w:numId w:val="4"/>
        </w:numPr>
        <w:rPr>
          <w:rFonts w:ascii="Open Sans" w:hAnsi="Open Sans" w:cs="Open Sans"/>
          <w:sz w:val="18"/>
          <w:szCs w:val="18"/>
        </w:rPr>
      </w:pPr>
      <w:r w:rsidRPr="00150AFC">
        <w:rPr>
          <w:rFonts w:ascii="Open Sans" w:hAnsi="Open Sans" w:cs="Open Sans"/>
          <w:bCs/>
          <w:color w:val="auto"/>
          <w:sz w:val="18"/>
          <w:szCs w:val="18"/>
        </w:rPr>
        <w:t>Les éventuelles erreurs de transcription sont corrigées sur place, en station.</w:t>
      </w:r>
    </w:p>
    <w:bookmarkEnd w:id="19"/>
    <w:p w14:paraId="7AAA3226" w14:textId="77777777" w:rsidR="00D176BC" w:rsidRPr="00150AFC" w:rsidRDefault="00D176BC" w:rsidP="00D176BC">
      <w:pPr>
        <w:rPr>
          <w:rFonts w:ascii="Open Sans" w:hAnsi="Open Sans" w:cs="Open Sans"/>
          <w:sz w:val="18"/>
          <w:szCs w:val="18"/>
        </w:rPr>
      </w:pPr>
    </w:p>
    <w:p w14:paraId="2194EB1F" w14:textId="5772B004" w:rsidR="00FE7479" w:rsidRPr="00150AFC" w:rsidRDefault="00D176BC" w:rsidP="00D176BC">
      <w:pPr>
        <w:rPr>
          <w:rFonts w:ascii="Open Sans" w:hAnsi="Open Sans" w:cs="Open Sans"/>
          <w:b/>
          <w:sz w:val="18"/>
          <w:szCs w:val="18"/>
          <w:u w:val="single"/>
        </w:rPr>
      </w:pPr>
      <w:r w:rsidRPr="00150AFC">
        <w:rPr>
          <w:rFonts w:ascii="Open Sans" w:hAnsi="Open Sans" w:cs="Open Sans"/>
          <w:b/>
          <w:sz w:val="18"/>
          <w:szCs w:val="18"/>
          <w:u w:val="single"/>
        </w:rPr>
        <w:t>Il est fortement souhaité que le réseau de station du candidat so</w:t>
      </w:r>
      <w:r w:rsidR="0045289B" w:rsidRPr="00150AFC">
        <w:rPr>
          <w:rFonts w:ascii="Open Sans" w:hAnsi="Open Sans" w:cs="Open Sans"/>
          <w:b/>
          <w:sz w:val="18"/>
          <w:szCs w:val="18"/>
          <w:u w:val="single"/>
        </w:rPr>
        <w:t>it multi-enseigne, il est obligatoire que le réseau de station comprenne des stations-services</w:t>
      </w:r>
      <w:r w:rsidRPr="00150AFC">
        <w:rPr>
          <w:rFonts w:ascii="Open Sans" w:hAnsi="Open Sans" w:cs="Open Sans"/>
          <w:b/>
          <w:sz w:val="18"/>
          <w:szCs w:val="18"/>
          <w:u w:val="single"/>
        </w:rPr>
        <w:t xml:space="preserve"> pouvant accueillir des voitures poids lourds.</w:t>
      </w:r>
    </w:p>
    <w:p w14:paraId="65D76C48" w14:textId="6F57B9CA" w:rsidR="00284CBC" w:rsidRPr="00150AFC" w:rsidRDefault="00284CBC" w:rsidP="00D176BC">
      <w:pPr>
        <w:rPr>
          <w:rFonts w:ascii="Open Sans" w:hAnsi="Open Sans" w:cs="Open Sans"/>
          <w:b/>
          <w:sz w:val="18"/>
          <w:szCs w:val="18"/>
          <w:u w:val="single"/>
        </w:rPr>
      </w:pPr>
    </w:p>
    <w:p w14:paraId="137F5DF7" w14:textId="5EE9CD0C" w:rsidR="00284CBC" w:rsidRPr="00150AFC" w:rsidRDefault="00284CBC" w:rsidP="00D176BC">
      <w:pPr>
        <w:rPr>
          <w:rFonts w:ascii="Open Sans" w:hAnsi="Open Sans" w:cs="Open Sans"/>
          <w:b/>
          <w:sz w:val="18"/>
          <w:szCs w:val="18"/>
          <w:u w:val="single"/>
        </w:rPr>
      </w:pPr>
      <w:r w:rsidRPr="00150AFC">
        <w:rPr>
          <w:rFonts w:ascii="Open Sans" w:hAnsi="Open Sans" w:cs="Open Sans"/>
          <w:b/>
          <w:sz w:val="18"/>
          <w:szCs w:val="18"/>
          <w:u w:val="single"/>
        </w:rPr>
        <w:t>Il est fortement souhaité aussi que la carte accréditive soit une seule carte multi énergie permettant à l’utilisateur de s’approvisionner en carburant ou de faire sa recharge à travers les bornes de recharge électrique</w:t>
      </w:r>
    </w:p>
    <w:p w14:paraId="4A6C29EA" w14:textId="432A8AB6" w:rsidR="0079292A" w:rsidRPr="00150AFC" w:rsidRDefault="0079292A" w:rsidP="00D176BC">
      <w:pPr>
        <w:rPr>
          <w:rFonts w:ascii="Open Sans" w:hAnsi="Open Sans" w:cs="Open Sans"/>
          <w:b/>
          <w:sz w:val="18"/>
          <w:szCs w:val="18"/>
          <w:u w:val="single"/>
        </w:rPr>
      </w:pPr>
    </w:p>
    <w:p w14:paraId="52800DCE" w14:textId="791C5481" w:rsidR="0079292A" w:rsidRPr="00150AFC" w:rsidRDefault="00150AFC" w:rsidP="00D3120E">
      <w:pPr>
        <w:pStyle w:val="Titre2"/>
        <w:rPr>
          <w:rFonts w:ascii="Open Sans" w:hAnsi="Open Sans"/>
        </w:rPr>
      </w:pPr>
      <w:bookmarkStart w:id="20" w:name="_Toc211526471"/>
      <w:r w:rsidRPr="00150AFC">
        <w:rPr>
          <w:rFonts w:ascii="Open Sans" w:hAnsi="Open Sans"/>
          <w:caps w:val="0"/>
        </w:rPr>
        <w:t xml:space="preserve">5.6. </w:t>
      </w:r>
      <w:r>
        <w:rPr>
          <w:rFonts w:ascii="Open Sans" w:hAnsi="Open Sans"/>
          <w:caps w:val="0"/>
        </w:rPr>
        <w:t>D</w:t>
      </w:r>
      <w:r w:rsidRPr="00150AFC">
        <w:rPr>
          <w:rFonts w:ascii="Open Sans" w:hAnsi="Open Sans"/>
          <w:caps w:val="0"/>
        </w:rPr>
        <w:t>estruction / perte et vol des cartes accréditives :</w:t>
      </w:r>
      <w:bookmarkEnd w:id="20"/>
    </w:p>
    <w:p w14:paraId="77D5EDE2" w14:textId="77777777" w:rsidR="0079292A" w:rsidRPr="00150AFC" w:rsidRDefault="0079292A" w:rsidP="0079292A">
      <w:pPr>
        <w:rPr>
          <w:rFonts w:ascii="Open Sans" w:hAnsi="Open Sans" w:cs="Open Sans"/>
          <w:iCs/>
          <w:sz w:val="18"/>
          <w:szCs w:val="18"/>
        </w:rPr>
      </w:pPr>
      <w:r w:rsidRPr="00150AFC">
        <w:rPr>
          <w:rFonts w:ascii="Open Sans" w:hAnsi="Open Sans" w:cs="Open Sans"/>
          <w:iCs/>
          <w:sz w:val="18"/>
          <w:szCs w:val="18"/>
        </w:rPr>
        <w:t>L’AP-HP s’engage à détruire les cartes relatives aux véhicules obsolètes (réformés) ou en cas de changement de titulaire en fin de marché.</w:t>
      </w:r>
    </w:p>
    <w:p w14:paraId="6513FC52" w14:textId="77777777" w:rsidR="0079292A" w:rsidRPr="00150AFC" w:rsidRDefault="0079292A" w:rsidP="0079292A">
      <w:pPr>
        <w:rPr>
          <w:rFonts w:ascii="Open Sans" w:hAnsi="Open Sans" w:cs="Open Sans"/>
          <w:iCs/>
          <w:sz w:val="18"/>
          <w:szCs w:val="18"/>
        </w:rPr>
      </w:pPr>
    </w:p>
    <w:p w14:paraId="4AC3D47E" w14:textId="77777777" w:rsidR="0079292A" w:rsidRPr="00150AFC" w:rsidRDefault="0079292A" w:rsidP="0079292A">
      <w:pPr>
        <w:rPr>
          <w:rFonts w:ascii="Open Sans" w:hAnsi="Open Sans" w:cs="Open Sans"/>
          <w:sz w:val="18"/>
          <w:szCs w:val="18"/>
        </w:rPr>
      </w:pPr>
      <w:r w:rsidRPr="00150AFC">
        <w:rPr>
          <w:rFonts w:ascii="Open Sans" w:hAnsi="Open Sans" w:cs="Open Sans"/>
          <w:iCs/>
          <w:sz w:val="18"/>
          <w:szCs w:val="18"/>
        </w:rPr>
        <w:t>La perte ou le vol d’une carte accréditive obligera le fournisseur à prendre les dispositions nécessaires à dégager l’AP-HP de toute responsabilité, dans un délai précisé dans l’offre, à compter de la date de réception de l’avis de perte ou de vol.</w:t>
      </w:r>
    </w:p>
    <w:p w14:paraId="082C8703" w14:textId="30B44027" w:rsidR="00084BD4" w:rsidRPr="00150AFC" w:rsidRDefault="00150AFC" w:rsidP="00D3120E">
      <w:pPr>
        <w:pStyle w:val="Titre2"/>
        <w:rPr>
          <w:rFonts w:ascii="Open Sans" w:hAnsi="Open Sans"/>
        </w:rPr>
      </w:pPr>
      <w:bookmarkStart w:id="21" w:name="_Toc211526472"/>
      <w:r>
        <w:rPr>
          <w:rFonts w:ascii="Open Sans" w:hAnsi="Open Sans"/>
        </w:rPr>
        <w:t xml:space="preserve">ARTICLE 6 : </w:t>
      </w:r>
      <w:r w:rsidR="00227BDB" w:rsidRPr="00150AFC">
        <w:rPr>
          <w:rFonts w:ascii="Open Sans" w:hAnsi="Open Sans"/>
        </w:rPr>
        <w:t>REGLEMENTATION ET SPECIFICATIONS GENERALE</w:t>
      </w:r>
      <w:bookmarkEnd w:id="12"/>
      <w:bookmarkEnd w:id="13"/>
      <w:r w:rsidR="00237922" w:rsidRPr="00150AFC">
        <w:rPr>
          <w:rFonts w:ascii="Open Sans" w:hAnsi="Open Sans"/>
        </w:rPr>
        <w:t>s</w:t>
      </w:r>
      <w:bookmarkEnd w:id="21"/>
    </w:p>
    <w:p w14:paraId="35C4D037" w14:textId="4CE5F296" w:rsidR="00280955" w:rsidRPr="00150AFC" w:rsidRDefault="00E42FE0" w:rsidP="00E42FE0">
      <w:pPr>
        <w:rPr>
          <w:rFonts w:ascii="Open Sans" w:hAnsi="Open Sans" w:cs="Open Sans"/>
          <w:sz w:val="18"/>
          <w:szCs w:val="18"/>
        </w:rPr>
      </w:pPr>
      <w:r w:rsidRPr="00150AFC">
        <w:rPr>
          <w:rFonts w:ascii="Open Sans" w:hAnsi="Open Sans" w:cs="Open Sans"/>
          <w:sz w:val="18"/>
          <w:szCs w:val="18"/>
        </w:rPr>
        <w:t xml:space="preserve">Les prestations </w:t>
      </w:r>
      <w:r w:rsidR="00280955" w:rsidRPr="00150AFC">
        <w:rPr>
          <w:rFonts w:ascii="Open Sans" w:hAnsi="Open Sans" w:cs="Open Sans"/>
          <w:sz w:val="18"/>
          <w:szCs w:val="18"/>
        </w:rPr>
        <w:t>doivent être conformes :</w:t>
      </w:r>
      <w:r w:rsidR="00FE7479" w:rsidRPr="00150AFC">
        <w:rPr>
          <w:rFonts w:ascii="Open Sans" w:hAnsi="Open Sans" w:cs="Open Sans"/>
          <w:sz w:val="18"/>
          <w:szCs w:val="18"/>
        </w:rPr>
        <w:t xml:space="preserve"> </w:t>
      </w:r>
    </w:p>
    <w:p w14:paraId="3D13329A" w14:textId="502E9154" w:rsidR="00280955" w:rsidRPr="00150AFC" w:rsidRDefault="00280955" w:rsidP="00280955">
      <w:pPr>
        <w:pStyle w:val="Paragraphedeliste"/>
        <w:numPr>
          <w:ilvl w:val="0"/>
          <w:numId w:val="6"/>
        </w:numPr>
        <w:rPr>
          <w:rFonts w:ascii="Open Sans" w:hAnsi="Open Sans" w:cs="Open Sans"/>
          <w:sz w:val="18"/>
          <w:szCs w:val="18"/>
        </w:rPr>
      </w:pPr>
      <w:r w:rsidRPr="00150AFC">
        <w:rPr>
          <w:rFonts w:ascii="Open Sans" w:hAnsi="Open Sans" w:cs="Open Sans"/>
          <w:sz w:val="18"/>
          <w:szCs w:val="18"/>
        </w:rPr>
        <w:t>Aux</w:t>
      </w:r>
      <w:r w:rsidR="00A1573F" w:rsidRPr="00150AFC">
        <w:rPr>
          <w:rFonts w:ascii="Open Sans" w:hAnsi="Open Sans" w:cs="Open Sans"/>
          <w:sz w:val="18"/>
          <w:szCs w:val="18"/>
        </w:rPr>
        <w:t xml:space="preserve"> norm</w:t>
      </w:r>
      <w:r w:rsidR="00382C49" w:rsidRPr="00150AFC">
        <w:rPr>
          <w:rFonts w:ascii="Open Sans" w:hAnsi="Open Sans" w:cs="Open Sans"/>
          <w:sz w:val="18"/>
          <w:szCs w:val="18"/>
        </w:rPr>
        <w:t>es et spécifications</w:t>
      </w:r>
      <w:r w:rsidR="00A1573F" w:rsidRPr="00150AFC">
        <w:rPr>
          <w:rFonts w:ascii="Open Sans" w:hAnsi="Open Sans" w:cs="Open Sans"/>
          <w:sz w:val="18"/>
          <w:szCs w:val="18"/>
        </w:rPr>
        <w:t xml:space="preserve"> techniques en vigueur</w:t>
      </w:r>
      <w:r w:rsidR="00382C49" w:rsidRPr="00150AFC">
        <w:rPr>
          <w:rFonts w:ascii="Open Sans" w:hAnsi="Open Sans" w:cs="Open Sans"/>
          <w:sz w:val="18"/>
          <w:szCs w:val="18"/>
        </w:rPr>
        <w:t xml:space="preserve">, notamment la norme </w:t>
      </w:r>
      <w:r w:rsidRPr="00150AFC">
        <w:rPr>
          <w:rFonts w:ascii="Open Sans" w:hAnsi="Open Sans" w:cs="Open Sans"/>
          <w:b/>
          <w:sz w:val="18"/>
          <w:szCs w:val="18"/>
        </w:rPr>
        <w:t>NF EN 228+A1 janvier 2018 Carburants pour automobiles - Essence sans plomb - Exigences et méthodes d'essai</w:t>
      </w:r>
      <w:r w:rsidRPr="00150AFC">
        <w:rPr>
          <w:rFonts w:ascii="Open Sans" w:hAnsi="Open Sans" w:cs="Open Sans"/>
          <w:sz w:val="18"/>
          <w:szCs w:val="18"/>
        </w:rPr>
        <w:t> ;</w:t>
      </w:r>
    </w:p>
    <w:p w14:paraId="7A3C151B" w14:textId="77777777" w:rsidR="00280955" w:rsidRPr="00150AFC" w:rsidRDefault="00280955" w:rsidP="00280955">
      <w:pPr>
        <w:pStyle w:val="Paragraphedeliste"/>
        <w:numPr>
          <w:ilvl w:val="0"/>
          <w:numId w:val="6"/>
        </w:numPr>
        <w:rPr>
          <w:rFonts w:ascii="Open Sans" w:hAnsi="Open Sans" w:cs="Open Sans"/>
          <w:sz w:val="18"/>
          <w:szCs w:val="18"/>
        </w:rPr>
      </w:pPr>
      <w:r w:rsidRPr="00150AFC">
        <w:rPr>
          <w:rFonts w:ascii="Open Sans" w:hAnsi="Open Sans" w:cs="Open Sans"/>
          <w:sz w:val="18"/>
          <w:szCs w:val="18"/>
        </w:rPr>
        <w:t>Aux normes </w:t>
      </w:r>
      <w:r w:rsidRPr="00150AFC">
        <w:rPr>
          <w:rFonts w:ascii="Open Sans" w:hAnsi="Open Sans" w:cs="Open Sans"/>
          <w:b/>
          <w:sz w:val="18"/>
          <w:szCs w:val="18"/>
        </w:rPr>
        <w:t>NF EN 590+A1 pour gazole (moteur) et le diesel</w:t>
      </w:r>
      <w:r w:rsidRPr="00150AFC">
        <w:rPr>
          <w:rFonts w:ascii="Open Sans" w:hAnsi="Open Sans" w:cs="Open Sans"/>
          <w:sz w:val="18"/>
          <w:szCs w:val="18"/>
        </w:rPr>
        <w:t> ;</w:t>
      </w:r>
    </w:p>
    <w:p w14:paraId="04FAC48B" w14:textId="1895E141" w:rsidR="00445A00" w:rsidRPr="00150AFC" w:rsidRDefault="00280955" w:rsidP="00445A00">
      <w:pPr>
        <w:pStyle w:val="Paragraphedeliste"/>
        <w:numPr>
          <w:ilvl w:val="0"/>
          <w:numId w:val="6"/>
        </w:numPr>
        <w:rPr>
          <w:rFonts w:ascii="Open Sans" w:hAnsi="Open Sans" w:cs="Open Sans"/>
          <w:sz w:val="18"/>
          <w:szCs w:val="18"/>
        </w:rPr>
      </w:pPr>
      <w:r w:rsidRPr="00150AFC">
        <w:rPr>
          <w:rFonts w:ascii="Open Sans" w:hAnsi="Open Sans" w:cs="Open Sans"/>
          <w:sz w:val="18"/>
          <w:szCs w:val="18"/>
        </w:rPr>
        <w:t xml:space="preserve">Aux normes </w:t>
      </w:r>
      <w:r w:rsidRPr="00150AFC">
        <w:rPr>
          <w:rFonts w:ascii="Open Sans" w:hAnsi="Open Sans" w:cs="Open Sans"/>
          <w:b/>
          <w:sz w:val="18"/>
          <w:szCs w:val="18"/>
        </w:rPr>
        <w:t>NF EN 589+A pour le GPL</w:t>
      </w:r>
      <w:r w:rsidRPr="00150AFC">
        <w:rPr>
          <w:rFonts w:ascii="Open Sans" w:hAnsi="Open Sans" w:cs="Open Sans"/>
          <w:sz w:val="18"/>
          <w:szCs w:val="18"/>
        </w:rPr>
        <w:t xml:space="preserve">.  </w:t>
      </w:r>
    </w:p>
    <w:p w14:paraId="48EF276C" w14:textId="77777777" w:rsidR="00445A00" w:rsidRPr="00150AFC" w:rsidRDefault="00445A00" w:rsidP="00445A00">
      <w:pPr>
        <w:pStyle w:val="Paragraphedeliste"/>
        <w:rPr>
          <w:rFonts w:ascii="Open Sans" w:hAnsi="Open Sans" w:cs="Open Sans"/>
          <w:sz w:val="18"/>
          <w:szCs w:val="18"/>
        </w:rPr>
      </w:pPr>
    </w:p>
    <w:p w14:paraId="65ED0976" w14:textId="6A54A20D" w:rsidR="00280955" w:rsidRPr="00150AFC" w:rsidRDefault="00235C78" w:rsidP="004938DF">
      <w:pPr>
        <w:rPr>
          <w:rFonts w:ascii="Open Sans" w:hAnsi="Open Sans" w:cs="Open Sans"/>
          <w:sz w:val="18"/>
          <w:szCs w:val="18"/>
        </w:rPr>
        <w:sectPr w:rsidR="00280955" w:rsidRPr="00150AFC">
          <w:footerReference w:type="default" r:id="rId10"/>
          <w:pgSz w:w="11907" w:h="16840" w:code="9"/>
          <w:pgMar w:top="1418" w:right="1418" w:bottom="1418" w:left="1418" w:header="720" w:footer="720" w:gutter="0"/>
          <w:cols w:space="720"/>
        </w:sectPr>
      </w:pPr>
      <w:r w:rsidRPr="00150AFC">
        <w:rPr>
          <w:rFonts w:ascii="Open Sans" w:hAnsi="Open Sans" w:cs="Open Sans"/>
          <w:sz w:val="18"/>
          <w:szCs w:val="18"/>
        </w:rPr>
        <w:t>La composition des carburants diesel doit respecter la teneur maximale autorisée en souffre</w:t>
      </w:r>
      <w:r w:rsidR="00FE7479" w:rsidRPr="00150AFC">
        <w:rPr>
          <w:rFonts w:ascii="Open Sans" w:hAnsi="Open Sans" w:cs="Open Sans"/>
          <w:sz w:val="18"/>
          <w:szCs w:val="18"/>
        </w:rPr>
        <w:t xml:space="preserve"> — </w:t>
      </w:r>
      <w:r w:rsidRPr="00150AFC">
        <w:rPr>
          <w:rFonts w:ascii="Open Sans" w:hAnsi="Open Sans" w:cs="Open Sans"/>
          <w:sz w:val="18"/>
          <w:szCs w:val="18"/>
        </w:rPr>
        <w:t>Directive 2009/30/CE du Parlement européen et du Conseil du 23 avril 2009 modifiant la directive 98/70/CE en ce qui concerne les spécifications relatives à l’essence, au carburant diesel et aux gazoles ainsi que l’introduction d’un mécanisme permettant de surveiller et de réduire les ém</w:t>
      </w:r>
      <w:r w:rsidR="00CF3A02" w:rsidRPr="00150AFC">
        <w:rPr>
          <w:rFonts w:ascii="Open Sans" w:hAnsi="Open Sans" w:cs="Open Sans"/>
          <w:sz w:val="18"/>
          <w:szCs w:val="18"/>
        </w:rPr>
        <w:t>issions de gaz à effet de serre</w:t>
      </w:r>
    </w:p>
    <w:p w14:paraId="6F9CBC6B" w14:textId="64921024" w:rsidR="00BC4336" w:rsidRPr="00150AFC" w:rsidRDefault="00BC4336" w:rsidP="008D4D25">
      <w:pPr>
        <w:pStyle w:val="Titre1"/>
      </w:pPr>
      <w:bookmarkStart w:id="22" w:name="_Toc144198345"/>
      <w:bookmarkStart w:id="23" w:name="_Toc185313264"/>
    </w:p>
    <w:p w14:paraId="0403133B" w14:textId="153D3205" w:rsidR="00084BD4" w:rsidRPr="00150AFC" w:rsidRDefault="0030016A" w:rsidP="008D4D25">
      <w:pPr>
        <w:pStyle w:val="Titre1"/>
        <w:rPr>
          <w:strike/>
        </w:rPr>
      </w:pPr>
      <w:bookmarkStart w:id="24" w:name="_Toc211526473"/>
      <w:r w:rsidRPr="00150AFC">
        <w:t>Annexe n°</w:t>
      </w:r>
      <w:r w:rsidR="007E113C" w:rsidRPr="00150AFC">
        <w:t xml:space="preserve"> 1</w:t>
      </w:r>
      <w:r w:rsidR="00084BD4" w:rsidRPr="00150AFC">
        <w:t> : Cadre de réponse technique</w:t>
      </w:r>
      <w:bookmarkEnd w:id="24"/>
      <w:bookmarkEnd w:id="22"/>
      <w:bookmarkEnd w:id="23"/>
    </w:p>
    <w:p w14:paraId="05055E22" w14:textId="77777777" w:rsidR="00084BD4" w:rsidRPr="00150AFC" w:rsidRDefault="00084BD4" w:rsidP="00084BD4">
      <w:pPr>
        <w:widowControl w:val="0"/>
        <w:autoSpaceDE w:val="0"/>
        <w:autoSpaceDN w:val="0"/>
        <w:adjustRightInd w:val="0"/>
        <w:jc w:val="center"/>
        <w:rPr>
          <w:rFonts w:ascii="Open Sans" w:eastAsia="Arial Unicode MS" w:hAnsi="Open Sans" w:cs="Open Sans"/>
          <w:b/>
          <w:bCs/>
          <w:iCs/>
          <w:color w:val="auto"/>
          <w:sz w:val="28"/>
          <w:u w:val="single"/>
        </w:rPr>
      </w:pPr>
      <w:r w:rsidRPr="00150AFC">
        <w:rPr>
          <w:rFonts w:ascii="Open Sans" w:eastAsia="Arial Unicode MS" w:hAnsi="Open Sans" w:cs="Open Sans"/>
          <w:b/>
          <w:bCs/>
          <w:iCs/>
          <w:color w:val="auto"/>
          <w:sz w:val="28"/>
          <w:u w:val="single"/>
        </w:rPr>
        <w:t>CE DOCUMENT EST A REMPLIR PAR LE CANDIDAT</w:t>
      </w:r>
    </w:p>
    <w:p w14:paraId="1D6DCEAF" w14:textId="4B7B51D4" w:rsidR="00084BD4" w:rsidRPr="00150AFC" w:rsidRDefault="000431D6" w:rsidP="00084BD4">
      <w:pPr>
        <w:widowControl w:val="0"/>
        <w:autoSpaceDE w:val="0"/>
        <w:autoSpaceDN w:val="0"/>
        <w:adjustRightInd w:val="0"/>
        <w:jc w:val="center"/>
        <w:rPr>
          <w:rFonts w:ascii="Open Sans" w:eastAsia="Arial Unicode MS" w:hAnsi="Open Sans" w:cs="Open Sans"/>
          <w:b/>
          <w:bCs/>
          <w:iCs/>
          <w:color w:val="auto"/>
        </w:rPr>
      </w:pPr>
      <w:r w:rsidRPr="00150AFC">
        <w:rPr>
          <w:rFonts w:ascii="Open Sans" w:eastAsia="Arial Unicode MS" w:hAnsi="Open Sans" w:cs="Open Sans"/>
          <w:b/>
          <w:bCs/>
          <w:iCs/>
          <w:color w:val="auto"/>
        </w:rPr>
        <w:t>« </w:t>
      </w:r>
      <w:r w:rsidRPr="00150AFC">
        <w:rPr>
          <w:rFonts w:ascii="Open Sans" w:eastAsia="Arial Unicode MS" w:hAnsi="Open Sans" w:cs="Open Sans"/>
          <w:b/>
          <w:bCs/>
          <w:iCs/>
          <w:color w:val="FF0000"/>
        </w:rPr>
        <w:t>DOCUMENT OBLIGATOIRE</w:t>
      </w:r>
      <w:r w:rsidRPr="00150AFC">
        <w:rPr>
          <w:rFonts w:ascii="Open Sans" w:eastAsia="Arial Unicode MS" w:hAnsi="Open Sans" w:cs="Open Sans"/>
          <w:b/>
          <w:bCs/>
          <w:iCs/>
          <w:color w:val="auto"/>
        </w:rPr>
        <w:t> »</w:t>
      </w:r>
    </w:p>
    <w:p w14:paraId="189EC7A0" w14:textId="5EE23BBB" w:rsidR="00084BD4" w:rsidRPr="00150AFC" w:rsidRDefault="00084BD4" w:rsidP="00084BD4">
      <w:pPr>
        <w:widowControl w:val="0"/>
        <w:autoSpaceDE w:val="0"/>
        <w:autoSpaceDN w:val="0"/>
        <w:adjustRightInd w:val="0"/>
        <w:rPr>
          <w:rFonts w:ascii="Open Sans" w:eastAsia="Arial Unicode MS" w:hAnsi="Open Sans" w:cs="Open Sans"/>
          <w:b/>
          <w:bCs/>
          <w:iCs/>
          <w:color w:val="auto"/>
          <w:u w:val="single"/>
        </w:rPr>
      </w:pPr>
    </w:p>
    <w:p w14:paraId="028F4F3A" w14:textId="454D9A29" w:rsidR="00084BD4" w:rsidRPr="00150AFC" w:rsidRDefault="000431D6" w:rsidP="00084BD4">
      <w:pPr>
        <w:widowControl w:val="0"/>
        <w:autoSpaceDE w:val="0"/>
        <w:autoSpaceDN w:val="0"/>
        <w:adjustRightInd w:val="0"/>
        <w:rPr>
          <w:rFonts w:ascii="Open Sans" w:hAnsi="Open Sans" w:cs="Open Sans"/>
          <w:sz w:val="18"/>
          <w:szCs w:val="18"/>
        </w:rPr>
      </w:pPr>
      <w:r w:rsidRPr="00150AFC">
        <w:rPr>
          <w:rFonts w:ascii="Open Sans" w:hAnsi="Open Sans" w:cs="Open Sans"/>
          <w:sz w:val="18"/>
          <w:szCs w:val="18"/>
        </w:rPr>
        <w:t>Nombre et répartition des stations-services à proximité des sites de l’Assistance – Publique Hôpitaux de Paris (Voir annexe 2 du CCAP 2</w:t>
      </w:r>
      <w:r w:rsidR="00284CBC" w:rsidRPr="00150AFC">
        <w:rPr>
          <w:rFonts w:ascii="Open Sans" w:hAnsi="Open Sans" w:cs="Open Sans"/>
          <w:sz w:val="18"/>
          <w:szCs w:val="18"/>
        </w:rPr>
        <w:t>6</w:t>
      </w:r>
      <w:r w:rsidRPr="00150AFC">
        <w:rPr>
          <w:rFonts w:ascii="Open Sans" w:hAnsi="Open Sans" w:cs="Open Sans"/>
          <w:sz w:val="18"/>
          <w:szCs w:val="18"/>
        </w:rPr>
        <w:t>/00</w:t>
      </w:r>
      <w:r w:rsidR="00284CBC" w:rsidRPr="00150AFC">
        <w:rPr>
          <w:rFonts w:ascii="Open Sans" w:hAnsi="Open Sans" w:cs="Open Sans"/>
          <w:sz w:val="18"/>
          <w:szCs w:val="18"/>
        </w:rPr>
        <w:t>6</w:t>
      </w:r>
      <w:r w:rsidRPr="00150AFC">
        <w:rPr>
          <w:rFonts w:ascii="Open Sans" w:hAnsi="Open Sans" w:cs="Open Sans"/>
          <w:sz w:val="18"/>
          <w:szCs w:val="18"/>
        </w:rPr>
        <w:t>)</w:t>
      </w:r>
    </w:p>
    <w:p w14:paraId="508D31F3" w14:textId="48C11A9A" w:rsidR="00637B12" w:rsidRPr="00150AFC" w:rsidRDefault="00637B12" w:rsidP="00084BD4">
      <w:pPr>
        <w:widowControl w:val="0"/>
        <w:autoSpaceDE w:val="0"/>
        <w:autoSpaceDN w:val="0"/>
        <w:adjustRightInd w:val="0"/>
        <w:rPr>
          <w:rFonts w:ascii="Open Sans" w:hAnsi="Open Sans" w:cs="Open Sans"/>
        </w:rPr>
      </w:pPr>
    </w:p>
    <w:tbl>
      <w:tblPr>
        <w:tblStyle w:val="Grilledutableau"/>
        <w:tblW w:w="0" w:type="auto"/>
        <w:tblLook w:val="04A0" w:firstRow="1" w:lastRow="0" w:firstColumn="1" w:lastColumn="0" w:noHBand="0" w:noVBand="1"/>
      </w:tblPr>
      <w:tblGrid>
        <w:gridCol w:w="9061"/>
      </w:tblGrid>
      <w:tr w:rsidR="00637B12" w:rsidRPr="00150AFC" w14:paraId="2466C496" w14:textId="77777777" w:rsidTr="00B24503">
        <w:trPr>
          <w:trHeight w:val="850"/>
        </w:trPr>
        <w:tc>
          <w:tcPr>
            <w:tcW w:w="9061" w:type="dxa"/>
            <w:vAlign w:val="center"/>
          </w:tcPr>
          <w:p w14:paraId="5315326B" w14:textId="20019B72" w:rsidR="00637B12" w:rsidRPr="00150AFC" w:rsidRDefault="00637B12" w:rsidP="00B24503">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Nombre et répartition de stations automatiques</w:t>
            </w:r>
            <w:r w:rsidR="00D918AA" w:rsidRPr="00150AFC">
              <w:rPr>
                <w:rFonts w:ascii="Open Sans" w:hAnsi="Open Sans" w:cs="Open Sans"/>
                <w:sz w:val="18"/>
                <w:szCs w:val="18"/>
              </w:rPr>
              <w:t>*</w:t>
            </w:r>
            <w:r w:rsidRPr="00150AFC">
              <w:rPr>
                <w:rFonts w:ascii="Open Sans" w:hAnsi="Open Sans" w:cs="Open Sans"/>
                <w:sz w:val="18"/>
                <w:szCs w:val="18"/>
              </w:rPr>
              <w:t>…………………………………………</w:t>
            </w:r>
          </w:p>
          <w:p w14:paraId="70AED7D6" w14:textId="77777777" w:rsidR="00637B12" w:rsidRPr="00150AFC" w:rsidRDefault="00637B12" w:rsidP="00B24503">
            <w:pPr>
              <w:widowControl w:val="0"/>
              <w:autoSpaceDE w:val="0"/>
              <w:autoSpaceDN w:val="0"/>
              <w:adjustRightInd w:val="0"/>
              <w:jc w:val="left"/>
              <w:rPr>
                <w:rFonts w:ascii="Open Sans" w:hAnsi="Open Sans" w:cs="Open Sans"/>
                <w:sz w:val="18"/>
                <w:szCs w:val="18"/>
              </w:rPr>
            </w:pPr>
          </w:p>
          <w:p w14:paraId="1DC8335A" w14:textId="0AD8B5C0" w:rsidR="00637B12" w:rsidRPr="00150AFC" w:rsidRDefault="00637B12" w:rsidP="00B24503">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Nombre et répartition de station automatiques avec accès poids lourds……………………….</w:t>
            </w:r>
          </w:p>
        </w:tc>
      </w:tr>
      <w:tr w:rsidR="00637B12" w:rsidRPr="00150AFC" w14:paraId="60C5E4D9" w14:textId="77777777" w:rsidTr="00B24503">
        <w:trPr>
          <w:trHeight w:val="850"/>
        </w:trPr>
        <w:tc>
          <w:tcPr>
            <w:tcW w:w="9061" w:type="dxa"/>
            <w:vAlign w:val="center"/>
          </w:tcPr>
          <w:p w14:paraId="0D7CE412" w14:textId="50E43EA8" w:rsidR="00637B12" w:rsidRPr="00150AFC" w:rsidRDefault="00637B12" w:rsidP="00B24503">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Nombre et répartition de station semi-automatiques</w:t>
            </w:r>
            <w:r w:rsidR="00D918AA" w:rsidRPr="00150AFC">
              <w:rPr>
                <w:rFonts w:ascii="Open Sans" w:hAnsi="Open Sans" w:cs="Open Sans"/>
                <w:sz w:val="18"/>
                <w:szCs w:val="18"/>
              </w:rPr>
              <w:t>*</w:t>
            </w:r>
            <w:r w:rsidRPr="00150AFC">
              <w:rPr>
                <w:rFonts w:ascii="Open Sans" w:hAnsi="Open Sans" w:cs="Open Sans"/>
                <w:sz w:val="18"/>
                <w:szCs w:val="18"/>
              </w:rPr>
              <w:t>……………………………..</w:t>
            </w:r>
          </w:p>
          <w:p w14:paraId="49F4006E" w14:textId="77777777" w:rsidR="00637B12" w:rsidRPr="00150AFC" w:rsidRDefault="00637B12" w:rsidP="00B24503">
            <w:pPr>
              <w:widowControl w:val="0"/>
              <w:autoSpaceDE w:val="0"/>
              <w:autoSpaceDN w:val="0"/>
              <w:adjustRightInd w:val="0"/>
              <w:jc w:val="left"/>
              <w:rPr>
                <w:rFonts w:ascii="Open Sans" w:hAnsi="Open Sans" w:cs="Open Sans"/>
                <w:sz w:val="18"/>
                <w:szCs w:val="18"/>
              </w:rPr>
            </w:pPr>
          </w:p>
          <w:p w14:paraId="15906D83" w14:textId="32128081" w:rsidR="00637B12" w:rsidRPr="00150AFC" w:rsidRDefault="00637B12" w:rsidP="00B24503">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Nombre et répartition de station semi-automatiques avec accès poids lourds…………………………………….</w:t>
            </w:r>
          </w:p>
        </w:tc>
      </w:tr>
      <w:tr w:rsidR="00637B12" w:rsidRPr="00150AFC" w14:paraId="69D924AB" w14:textId="77777777" w:rsidTr="00B24503">
        <w:trPr>
          <w:trHeight w:val="850"/>
        </w:trPr>
        <w:tc>
          <w:tcPr>
            <w:tcW w:w="9061" w:type="dxa"/>
            <w:vAlign w:val="center"/>
          </w:tcPr>
          <w:p w14:paraId="3816C9C4" w14:textId="5D069084" w:rsidR="00637B12" w:rsidRPr="00150AFC" w:rsidRDefault="00637B12" w:rsidP="00B24503">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Ouverture 24h/24 (toute pompes confondues) ……………………..</w:t>
            </w:r>
          </w:p>
          <w:p w14:paraId="15E0DEBA" w14:textId="77777777" w:rsidR="00637B12" w:rsidRPr="00150AFC" w:rsidRDefault="00637B12" w:rsidP="00B24503">
            <w:pPr>
              <w:widowControl w:val="0"/>
              <w:autoSpaceDE w:val="0"/>
              <w:autoSpaceDN w:val="0"/>
              <w:adjustRightInd w:val="0"/>
              <w:jc w:val="left"/>
              <w:rPr>
                <w:rFonts w:ascii="Open Sans" w:hAnsi="Open Sans" w:cs="Open Sans"/>
                <w:sz w:val="18"/>
                <w:szCs w:val="18"/>
              </w:rPr>
            </w:pPr>
          </w:p>
          <w:p w14:paraId="22E943C2" w14:textId="64F55032" w:rsidR="00637B12" w:rsidRPr="00150AFC" w:rsidRDefault="00637B12" w:rsidP="00B24503">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Nombre et répartition de station avec borne de recharge électriques</w:t>
            </w:r>
            <w:r w:rsidR="00D918AA" w:rsidRPr="00150AFC">
              <w:rPr>
                <w:rFonts w:ascii="Open Sans" w:hAnsi="Open Sans" w:cs="Open Sans"/>
                <w:sz w:val="18"/>
                <w:szCs w:val="18"/>
              </w:rPr>
              <w:t>**</w:t>
            </w:r>
            <w:r w:rsidRPr="00150AFC">
              <w:rPr>
                <w:rFonts w:ascii="Open Sans" w:hAnsi="Open Sans" w:cs="Open Sans"/>
                <w:sz w:val="18"/>
                <w:szCs w:val="18"/>
              </w:rPr>
              <w:t>……………………..</w:t>
            </w:r>
          </w:p>
        </w:tc>
      </w:tr>
    </w:tbl>
    <w:p w14:paraId="33266EB2" w14:textId="1C9C712E" w:rsidR="00637B12" w:rsidRPr="00150AFC" w:rsidRDefault="00637B12" w:rsidP="00084BD4">
      <w:pPr>
        <w:widowControl w:val="0"/>
        <w:autoSpaceDE w:val="0"/>
        <w:autoSpaceDN w:val="0"/>
        <w:adjustRightInd w:val="0"/>
        <w:rPr>
          <w:rFonts w:ascii="Open Sans" w:hAnsi="Open Sans" w:cs="Open Sans"/>
        </w:rPr>
      </w:pPr>
    </w:p>
    <w:p w14:paraId="08D1DDFC" w14:textId="07E120B9" w:rsidR="00084BD4" w:rsidRPr="00150AFC" w:rsidRDefault="00084BD4" w:rsidP="00084BD4">
      <w:pPr>
        <w:widowControl w:val="0"/>
        <w:autoSpaceDE w:val="0"/>
        <w:autoSpaceDN w:val="0"/>
        <w:adjustRightInd w:val="0"/>
        <w:rPr>
          <w:rFonts w:ascii="Open Sans" w:eastAsia="Arial Unicode MS" w:hAnsi="Open Sans" w:cs="Open Sans"/>
          <w:b/>
          <w:bCs/>
          <w:iCs/>
          <w:color w:val="auto"/>
          <w:sz w:val="18"/>
          <w:szCs w:val="18"/>
          <w:u w:val="single"/>
        </w:rPr>
      </w:pPr>
    </w:p>
    <w:tbl>
      <w:tblPr>
        <w:tblStyle w:val="Grilledutableau"/>
        <w:tblW w:w="0" w:type="auto"/>
        <w:tblLook w:val="04A0" w:firstRow="1" w:lastRow="0" w:firstColumn="1" w:lastColumn="0" w:noHBand="0" w:noVBand="1"/>
      </w:tblPr>
      <w:tblGrid>
        <w:gridCol w:w="9061"/>
      </w:tblGrid>
      <w:tr w:rsidR="00D918AA" w:rsidRPr="00B24503" w14:paraId="4FB7D87C" w14:textId="77777777" w:rsidTr="00B24503">
        <w:trPr>
          <w:trHeight w:val="850"/>
        </w:trPr>
        <w:tc>
          <w:tcPr>
            <w:tcW w:w="9061" w:type="dxa"/>
            <w:vAlign w:val="center"/>
          </w:tcPr>
          <w:p w14:paraId="3B448BE6" w14:textId="3627FB8F" w:rsidR="00D918AA" w:rsidRPr="00B24503" w:rsidRDefault="00D918AA" w:rsidP="00B24503">
            <w:pPr>
              <w:widowControl w:val="0"/>
              <w:autoSpaceDE w:val="0"/>
              <w:autoSpaceDN w:val="0"/>
              <w:adjustRightInd w:val="0"/>
              <w:jc w:val="left"/>
              <w:rPr>
                <w:rFonts w:ascii="Open Sans" w:eastAsia="Arial Unicode MS" w:hAnsi="Open Sans" w:cs="Open Sans"/>
                <w:bCs/>
                <w:iCs/>
                <w:color w:val="auto"/>
                <w:sz w:val="18"/>
                <w:szCs w:val="18"/>
              </w:rPr>
            </w:pPr>
            <w:r w:rsidRPr="00B24503">
              <w:rPr>
                <w:rFonts w:ascii="Open Sans" w:eastAsia="Arial Unicode MS" w:hAnsi="Open Sans" w:cs="Open Sans"/>
                <w:bCs/>
                <w:iCs/>
                <w:color w:val="auto"/>
                <w:sz w:val="18"/>
                <w:szCs w:val="18"/>
              </w:rPr>
              <w:t>Avez-vous la capacité à assurer l’</w:t>
            </w:r>
            <w:r w:rsidR="00445A00" w:rsidRPr="00B24503">
              <w:rPr>
                <w:rFonts w:ascii="Open Sans" w:eastAsia="Arial Unicode MS" w:hAnsi="Open Sans" w:cs="Open Sans"/>
                <w:bCs/>
                <w:iCs/>
                <w:color w:val="auto"/>
                <w:sz w:val="18"/>
                <w:szCs w:val="18"/>
              </w:rPr>
              <w:t>approvisionnement</w:t>
            </w:r>
            <w:r w:rsidRPr="00B24503">
              <w:rPr>
                <w:rFonts w:ascii="Open Sans" w:eastAsia="Arial Unicode MS" w:hAnsi="Open Sans" w:cs="Open Sans"/>
                <w:bCs/>
                <w:iCs/>
                <w:color w:val="auto"/>
                <w:sz w:val="18"/>
                <w:szCs w:val="18"/>
              </w:rPr>
              <w:t xml:space="preserve"> en cas de situ</w:t>
            </w:r>
            <w:r w:rsidR="00445A00" w:rsidRPr="00B24503">
              <w:rPr>
                <w:rFonts w:ascii="Open Sans" w:eastAsia="Arial Unicode MS" w:hAnsi="Open Sans" w:cs="Open Sans"/>
                <w:bCs/>
                <w:iCs/>
                <w:color w:val="auto"/>
                <w:sz w:val="18"/>
                <w:szCs w:val="18"/>
              </w:rPr>
              <w:t>ation urgente, de risque et /ou de rupture d’approvisionnement de courte/longue durée : oui/non</w:t>
            </w:r>
          </w:p>
        </w:tc>
      </w:tr>
      <w:tr w:rsidR="00D918AA" w:rsidRPr="00B24503" w14:paraId="1C11695E" w14:textId="77777777" w:rsidTr="00B24503">
        <w:trPr>
          <w:trHeight w:val="1134"/>
        </w:trPr>
        <w:tc>
          <w:tcPr>
            <w:tcW w:w="9061" w:type="dxa"/>
            <w:vAlign w:val="center"/>
          </w:tcPr>
          <w:p w14:paraId="4DD8AAE2" w14:textId="77777777" w:rsidR="00D918AA" w:rsidRPr="00B24503" w:rsidRDefault="00445A00" w:rsidP="00B24503">
            <w:pPr>
              <w:widowControl w:val="0"/>
              <w:autoSpaceDE w:val="0"/>
              <w:autoSpaceDN w:val="0"/>
              <w:adjustRightInd w:val="0"/>
              <w:jc w:val="left"/>
              <w:rPr>
                <w:rFonts w:ascii="Open Sans" w:eastAsia="Arial Unicode MS" w:hAnsi="Open Sans" w:cs="Open Sans"/>
                <w:bCs/>
                <w:iCs/>
                <w:color w:val="auto"/>
                <w:sz w:val="18"/>
                <w:szCs w:val="18"/>
              </w:rPr>
            </w:pPr>
            <w:r w:rsidRPr="00B24503">
              <w:rPr>
                <w:rFonts w:ascii="Open Sans" w:eastAsia="Arial Unicode MS" w:hAnsi="Open Sans" w:cs="Open Sans"/>
                <w:bCs/>
                <w:iCs/>
                <w:color w:val="auto"/>
                <w:sz w:val="18"/>
                <w:szCs w:val="18"/>
              </w:rPr>
              <w:t>Si oui, remettre un dossier décrivant le dispositif déployé :</w:t>
            </w:r>
          </w:p>
          <w:p w14:paraId="5A1AA4AA" w14:textId="77777777" w:rsidR="00445A00" w:rsidRPr="00B24503" w:rsidRDefault="00445A00" w:rsidP="00B24503">
            <w:pPr>
              <w:widowControl w:val="0"/>
              <w:autoSpaceDE w:val="0"/>
              <w:autoSpaceDN w:val="0"/>
              <w:adjustRightInd w:val="0"/>
              <w:jc w:val="left"/>
              <w:rPr>
                <w:rFonts w:ascii="Open Sans" w:eastAsia="Arial Unicode MS" w:hAnsi="Open Sans" w:cs="Open Sans"/>
                <w:bCs/>
                <w:iCs/>
                <w:color w:val="auto"/>
                <w:sz w:val="18"/>
                <w:szCs w:val="18"/>
              </w:rPr>
            </w:pPr>
          </w:p>
          <w:p w14:paraId="5AF8F665" w14:textId="7E0600BE" w:rsidR="00445A00" w:rsidRPr="00B24503" w:rsidRDefault="00445A00" w:rsidP="00B24503">
            <w:pPr>
              <w:widowControl w:val="0"/>
              <w:autoSpaceDE w:val="0"/>
              <w:autoSpaceDN w:val="0"/>
              <w:adjustRightInd w:val="0"/>
              <w:jc w:val="left"/>
              <w:rPr>
                <w:rFonts w:ascii="Open Sans" w:eastAsia="Arial Unicode MS" w:hAnsi="Open Sans" w:cs="Open Sans"/>
                <w:bCs/>
                <w:iCs/>
                <w:color w:val="auto"/>
                <w:sz w:val="18"/>
                <w:szCs w:val="18"/>
              </w:rPr>
            </w:pPr>
            <w:r w:rsidRPr="00B24503">
              <w:rPr>
                <w:rFonts w:ascii="Open Sans" w:eastAsia="Arial Unicode MS" w:hAnsi="Open Sans" w:cs="Open Sans"/>
                <w:bCs/>
                <w:iCs/>
                <w:color w:val="auto"/>
                <w:sz w:val="18"/>
                <w:szCs w:val="18"/>
              </w:rPr>
              <w:t>Exemples : les délais et moyens d’information des sites, les moyens logistiques, listes des pompes sous astreinte courte/longue durée</w:t>
            </w:r>
          </w:p>
        </w:tc>
      </w:tr>
      <w:tr w:rsidR="00113D8F" w:rsidRPr="00B24503" w14:paraId="717C0C54" w14:textId="77777777" w:rsidTr="00B24503">
        <w:trPr>
          <w:trHeight w:val="1409"/>
        </w:trPr>
        <w:tc>
          <w:tcPr>
            <w:tcW w:w="9061" w:type="dxa"/>
            <w:vAlign w:val="center"/>
          </w:tcPr>
          <w:p w14:paraId="731B1831" w14:textId="37D36C80" w:rsidR="00113D8F" w:rsidRPr="00B24503" w:rsidRDefault="00113D8F" w:rsidP="00B24503">
            <w:pPr>
              <w:widowControl w:val="0"/>
              <w:autoSpaceDE w:val="0"/>
              <w:autoSpaceDN w:val="0"/>
              <w:adjustRightInd w:val="0"/>
              <w:jc w:val="left"/>
              <w:rPr>
                <w:rFonts w:ascii="Open Sans" w:eastAsia="Arial Unicode MS" w:hAnsi="Open Sans" w:cs="Open Sans"/>
                <w:bCs/>
                <w:iCs/>
                <w:color w:val="auto"/>
                <w:sz w:val="18"/>
                <w:szCs w:val="18"/>
              </w:rPr>
            </w:pPr>
            <w:r w:rsidRPr="00B24503">
              <w:rPr>
                <w:rFonts w:ascii="Open Sans" w:eastAsia="Arial Unicode MS" w:hAnsi="Open Sans" w:cs="Open Sans"/>
                <w:bCs/>
                <w:iCs/>
                <w:color w:val="auto"/>
                <w:sz w:val="18"/>
                <w:szCs w:val="18"/>
              </w:rPr>
              <w:t xml:space="preserve">Astreinte ou SAV joignable 7/24 ? : </w:t>
            </w:r>
          </w:p>
        </w:tc>
      </w:tr>
    </w:tbl>
    <w:p w14:paraId="763DB4C8" w14:textId="096C01C6" w:rsidR="00084BD4" w:rsidRPr="00150AFC" w:rsidRDefault="00084BD4" w:rsidP="00084BD4">
      <w:pPr>
        <w:widowControl w:val="0"/>
        <w:autoSpaceDE w:val="0"/>
        <w:autoSpaceDN w:val="0"/>
        <w:adjustRightInd w:val="0"/>
        <w:rPr>
          <w:rFonts w:ascii="Open Sans" w:eastAsia="Arial Unicode MS" w:hAnsi="Open Sans" w:cs="Open Sans"/>
          <w:b/>
          <w:bCs/>
          <w:iCs/>
          <w:color w:val="auto"/>
          <w:u w:val="single"/>
        </w:rPr>
      </w:pPr>
    </w:p>
    <w:p w14:paraId="384D4B40" w14:textId="75DF212C" w:rsidR="00084BD4" w:rsidRPr="00150AFC" w:rsidRDefault="00084BD4" w:rsidP="00084BD4">
      <w:pPr>
        <w:widowControl w:val="0"/>
        <w:autoSpaceDE w:val="0"/>
        <w:autoSpaceDN w:val="0"/>
        <w:adjustRightInd w:val="0"/>
        <w:rPr>
          <w:rFonts w:ascii="Open Sans" w:eastAsia="Arial Unicode MS" w:hAnsi="Open Sans" w:cs="Open Sans"/>
          <w:bCs/>
          <w:iCs/>
          <w:color w:val="auto"/>
          <w:sz w:val="18"/>
          <w:szCs w:val="18"/>
        </w:rPr>
      </w:pPr>
    </w:p>
    <w:p w14:paraId="084CB3FD" w14:textId="77777777" w:rsidR="00084BD4" w:rsidRPr="00150AFC" w:rsidRDefault="00084BD4" w:rsidP="00084BD4">
      <w:pPr>
        <w:widowControl w:val="0"/>
        <w:autoSpaceDE w:val="0"/>
        <w:autoSpaceDN w:val="0"/>
        <w:adjustRightInd w:val="0"/>
        <w:rPr>
          <w:rFonts w:ascii="Open Sans" w:eastAsia="Arial Unicode MS" w:hAnsi="Open Sans" w:cs="Open Sans"/>
          <w:bCs/>
          <w:iCs/>
          <w:color w:val="auto"/>
          <w:sz w:val="18"/>
          <w:szCs w:val="18"/>
        </w:rPr>
      </w:pPr>
    </w:p>
    <w:p w14:paraId="01A1AD4E" w14:textId="77777777" w:rsidR="00084BD4" w:rsidRPr="00150AFC" w:rsidRDefault="00084BD4" w:rsidP="00084BD4">
      <w:pPr>
        <w:widowControl w:val="0"/>
        <w:autoSpaceDE w:val="0"/>
        <w:autoSpaceDN w:val="0"/>
        <w:adjustRightInd w:val="0"/>
        <w:rPr>
          <w:rFonts w:ascii="Open Sans" w:eastAsia="Arial Unicode MS" w:hAnsi="Open Sans" w:cs="Open Sans"/>
          <w:bCs/>
          <w:iCs/>
          <w:color w:val="auto"/>
          <w:sz w:val="18"/>
          <w:szCs w:val="18"/>
        </w:rPr>
      </w:pPr>
    </w:p>
    <w:p w14:paraId="1ACCB19F" w14:textId="77777777" w:rsidR="00084BD4" w:rsidRPr="00150AFC" w:rsidRDefault="00084BD4" w:rsidP="00084BD4">
      <w:pPr>
        <w:widowControl w:val="0"/>
        <w:autoSpaceDE w:val="0"/>
        <w:autoSpaceDN w:val="0"/>
        <w:adjustRightInd w:val="0"/>
        <w:rPr>
          <w:rFonts w:ascii="Open Sans" w:eastAsia="Arial Unicode MS" w:hAnsi="Open Sans" w:cs="Open Sans"/>
          <w:bCs/>
          <w:iCs/>
          <w:color w:val="auto"/>
          <w:sz w:val="18"/>
          <w:szCs w:val="18"/>
        </w:rPr>
      </w:pPr>
    </w:p>
    <w:p w14:paraId="39C6E0AD" w14:textId="77777777" w:rsidR="00084BD4" w:rsidRPr="00150AFC" w:rsidRDefault="00084BD4" w:rsidP="00084BD4">
      <w:pPr>
        <w:widowControl w:val="0"/>
        <w:autoSpaceDE w:val="0"/>
        <w:autoSpaceDN w:val="0"/>
        <w:adjustRightInd w:val="0"/>
        <w:rPr>
          <w:rFonts w:ascii="Open Sans" w:eastAsia="Arial Unicode MS" w:hAnsi="Open Sans" w:cs="Open Sans"/>
          <w:bCs/>
          <w:iCs/>
          <w:color w:val="auto"/>
          <w:sz w:val="18"/>
          <w:szCs w:val="18"/>
        </w:rPr>
      </w:pPr>
    </w:p>
    <w:p w14:paraId="1DA6245E" w14:textId="52C904AE" w:rsidR="00084BD4" w:rsidRPr="00150AFC" w:rsidRDefault="00445A00" w:rsidP="00084BD4">
      <w:pPr>
        <w:widowControl w:val="0"/>
        <w:autoSpaceDE w:val="0"/>
        <w:autoSpaceDN w:val="0"/>
        <w:adjustRightInd w:val="0"/>
        <w:rPr>
          <w:rFonts w:ascii="Open Sans" w:eastAsia="Arial Unicode MS" w:hAnsi="Open Sans" w:cs="Open Sans"/>
          <w:b/>
          <w:bCs/>
          <w:iCs/>
          <w:color w:val="auto"/>
          <w:sz w:val="18"/>
          <w:szCs w:val="18"/>
        </w:rPr>
      </w:pPr>
      <w:bookmarkStart w:id="25" w:name="_Toc428279551"/>
      <w:bookmarkStart w:id="26" w:name="_Toc428366147"/>
      <w:bookmarkStart w:id="27" w:name="_Toc428367200"/>
      <w:r w:rsidRPr="00150AFC">
        <w:rPr>
          <w:rFonts w:ascii="Open Sans" w:hAnsi="Open Sans" w:cs="Open Sans"/>
          <w:b/>
          <w:sz w:val="18"/>
          <w:szCs w:val="18"/>
        </w:rPr>
        <w:t>Signature et cachet de la société</w:t>
      </w:r>
      <w:bookmarkEnd w:id="25"/>
      <w:bookmarkEnd w:id="26"/>
      <w:bookmarkEnd w:id="27"/>
    </w:p>
    <w:p w14:paraId="09CDE39F" w14:textId="77777777" w:rsidR="00084BD4" w:rsidRPr="00150AFC" w:rsidRDefault="00084BD4" w:rsidP="00084BD4">
      <w:pPr>
        <w:widowControl w:val="0"/>
        <w:autoSpaceDE w:val="0"/>
        <w:autoSpaceDN w:val="0"/>
        <w:adjustRightInd w:val="0"/>
        <w:rPr>
          <w:rFonts w:ascii="Open Sans" w:eastAsia="Arial Unicode MS" w:hAnsi="Open Sans" w:cs="Open Sans"/>
          <w:b/>
          <w:bCs/>
          <w:iCs/>
          <w:color w:val="auto"/>
          <w:sz w:val="18"/>
          <w:szCs w:val="18"/>
        </w:rPr>
      </w:pPr>
    </w:p>
    <w:p w14:paraId="3AA20A74" w14:textId="77777777" w:rsidR="00084BD4" w:rsidRPr="00150AFC" w:rsidRDefault="00084BD4" w:rsidP="00084BD4">
      <w:pPr>
        <w:widowControl w:val="0"/>
        <w:autoSpaceDE w:val="0"/>
        <w:autoSpaceDN w:val="0"/>
        <w:adjustRightInd w:val="0"/>
        <w:rPr>
          <w:rFonts w:ascii="Open Sans" w:eastAsia="Arial Unicode MS" w:hAnsi="Open Sans" w:cs="Open Sans"/>
          <w:bCs/>
          <w:iCs/>
          <w:color w:val="auto"/>
          <w:sz w:val="18"/>
          <w:szCs w:val="18"/>
        </w:rPr>
      </w:pPr>
    </w:p>
    <w:p w14:paraId="7577C6C0" w14:textId="77777777" w:rsidR="00084BD4" w:rsidRPr="00150AFC" w:rsidRDefault="00084BD4" w:rsidP="00084BD4">
      <w:pPr>
        <w:widowControl w:val="0"/>
        <w:autoSpaceDE w:val="0"/>
        <w:autoSpaceDN w:val="0"/>
        <w:adjustRightInd w:val="0"/>
        <w:rPr>
          <w:rFonts w:ascii="Open Sans" w:eastAsia="Arial Unicode MS" w:hAnsi="Open Sans" w:cs="Open Sans"/>
          <w:bCs/>
          <w:iCs/>
          <w:color w:val="auto"/>
          <w:sz w:val="18"/>
          <w:szCs w:val="18"/>
        </w:rPr>
      </w:pPr>
    </w:p>
    <w:p w14:paraId="141DC562" w14:textId="23168840" w:rsidR="00084BD4" w:rsidRPr="00150AFC" w:rsidRDefault="00084BD4" w:rsidP="00084BD4">
      <w:pPr>
        <w:widowControl w:val="0"/>
        <w:autoSpaceDE w:val="0"/>
        <w:autoSpaceDN w:val="0"/>
        <w:adjustRightInd w:val="0"/>
        <w:rPr>
          <w:rFonts w:ascii="Open Sans" w:eastAsia="Arial Unicode MS" w:hAnsi="Open Sans" w:cs="Open Sans"/>
          <w:bCs/>
          <w:iCs/>
          <w:color w:val="auto"/>
          <w:sz w:val="18"/>
          <w:szCs w:val="18"/>
        </w:rPr>
      </w:pPr>
    </w:p>
    <w:p w14:paraId="3275B38D" w14:textId="39524DAA" w:rsidR="0060742D" w:rsidRPr="00150AFC" w:rsidRDefault="0060742D" w:rsidP="00084BD4">
      <w:pPr>
        <w:widowControl w:val="0"/>
        <w:autoSpaceDE w:val="0"/>
        <w:autoSpaceDN w:val="0"/>
        <w:adjustRightInd w:val="0"/>
        <w:rPr>
          <w:rFonts w:ascii="Open Sans" w:eastAsia="Arial Unicode MS" w:hAnsi="Open Sans" w:cs="Open Sans"/>
          <w:bCs/>
          <w:iCs/>
          <w:color w:val="auto"/>
          <w:sz w:val="18"/>
          <w:szCs w:val="18"/>
        </w:rPr>
      </w:pPr>
    </w:p>
    <w:p w14:paraId="257A4674" w14:textId="4BD26182" w:rsidR="0060742D" w:rsidRPr="00150AFC" w:rsidRDefault="0060742D" w:rsidP="00084BD4">
      <w:pPr>
        <w:widowControl w:val="0"/>
        <w:autoSpaceDE w:val="0"/>
        <w:autoSpaceDN w:val="0"/>
        <w:adjustRightInd w:val="0"/>
        <w:rPr>
          <w:rFonts w:ascii="Open Sans" w:eastAsia="Arial Unicode MS" w:hAnsi="Open Sans" w:cs="Open Sans"/>
          <w:bCs/>
          <w:iCs/>
          <w:color w:val="auto"/>
          <w:sz w:val="18"/>
          <w:szCs w:val="18"/>
        </w:rPr>
      </w:pPr>
    </w:p>
    <w:p w14:paraId="60F38BB2" w14:textId="77777777" w:rsidR="0060742D" w:rsidRPr="00150AFC" w:rsidRDefault="0060742D" w:rsidP="00084BD4">
      <w:pPr>
        <w:widowControl w:val="0"/>
        <w:autoSpaceDE w:val="0"/>
        <w:autoSpaceDN w:val="0"/>
        <w:adjustRightInd w:val="0"/>
        <w:rPr>
          <w:rFonts w:ascii="Open Sans" w:eastAsia="Arial Unicode MS" w:hAnsi="Open Sans" w:cs="Open Sans"/>
          <w:bCs/>
          <w:iCs/>
          <w:color w:val="auto"/>
          <w:sz w:val="18"/>
          <w:szCs w:val="18"/>
        </w:rPr>
      </w:pPr>
    </w:p>
    <w:p w14:paraId="535902CA" w14:textId="4DA5C8E3" w:rsidR="00515114" w:rsidRPr="00150AFC" w:rsidRDefault="00515114" w:rsidP="00150AFC">
      <w:pPr>
        <w:widowControl w:val="0"/>
        <w:autoSpaceDE w:val="0"/>
        <w:autoSpaceDN w:val="0"/>
        <w:adjustRightInd w:val="0"/>
        <w:rPr>
          <w:rFonts w:ascii="Open Sans" w:eastAsia="Arial Unicode MS" w:hAnsi="Open Sans" w:cs="Open Sans"/>
          <w:bCs/>
          <w:iCs/>
          <w:color w:val="auto"/>
          <w:sz w:val="18"/>
          <w:szCs w:val="18"/>
        </w:rPr>
      </w:pPr>
    </w:p>
    <w:p w14:paraId="55178A87" w14:textId="26B4EE1B" w:rsidR="00445A00" w:rsidRPr="00150AFC" w:rsidRDefault="00445A00" w:rsidP="00084BD4">
      <w:pPr>
        <w:widowControl w:val="0"/>
        <w:autoSpaceDE w:val="0"/>
        <w:autoSpaceDN w:val="0"/>
        <w:adjustRightInd w:val="0"/>
        <w:rPr>
          <w:rFonts w:ascii="Open Sans" w:eastAsia="Arial Unicode MS" w:hAnsi="Open Sans" w:cs="Open Sans"/>
          <w:bCs/>
          <w:iCs/>
          <w:color w:val="auto"/>
          <w:sz w:val="18"/>
          <w:szCs w:val="18"/>
        </w:rPr>
      </w:pPr>
    </w:p>
    <w:p w14:paraId="061F4759" w14:textId="1BBC9414" w:rsidR="00445A00" w:rsidRPr="00150AFC" w:rsidRDefault="00445A00" w:rsidP="00084BD4">
      <w:pPr>
        <w:widowControl w:val="0"/>
        <w:autoSpaceDE w:val="0"/>
        <w:autoSpaceDN w:val="0"/>
        <w:adjustRightInd w:val="0"/>
        <w:rPr>
          <w:rFonts w:ascii="Open Sans" w:eastAsia="Arial Unicode MS" w:hAnsi="Open Sans" w:cs="Open Sans"/>
          <w:bCs/>
          <w:iCs/>
          <w:color w:val="auto"/>
          <w:sz w:val="18"/>
          <w:szCs w:val="18"/>
        </w:rPr>
      </w:pPr>
    </w:p>
    <w:tbl>
      <w:tblPr>
        <w:tblpPr w:leftFromText="141" w:rightFromText="141" w:vertAnchor="text" w:horzAnchor="margin" w:tblpXSpec="center" w:tblpY="-666"/>
        <w:tblW w:w="9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45"/>
        <w:gridCol w:w="6143"/>
      </w:tblGrid>
      <w:tr w:rsidR="0060742D" w:rsidRPr="00150AFC" w14:paraId="74632DEB" w14:textId="77777777" w:rsidTr="00150AFC">
        <w:trPr>
          <w:trHeight w:val="567"/>
        </w:trPr>
        <w:tc>
          <w:tcPr>
            <w:tcW w:w="3845" w:type="dxa"/>
            <w:tcBorders>
              <w:top w:val="thinThickSmallGap" w:sz="24" w:space="0" w:color="auto"/>
              <w:left w:val="thinThickSmallGap" w:sz="24" w:space="0" w:color="auto"/>
              <w:bottom w:val="single" w:sz="4" w:space="0" w:color="auto"/>
              <w:right w:val="single" w:sz="4" w:space="0" w:color="auto"/>
            </w:tcBorders>
            <w:shd w:val="clear" w:color="auto" w:fill="CCCCCC"/>
            <w:vAlign w:val="center"/>
          </w:tcPr>
          <w:p w14:paraId="31432522" w14:textId="549AF1BF" w:rsidR="0060742D" w:rsidRPr="00150AFC" w:rsidRDefault="0060742D" w:rsidP="00150AFC">
            <w:pPr>
              <w:jc w:val="center"/>
              <w:rPr>
                <w:rFonts w:ascii="Open Sans" w:hAnsi="Open Sans" w:cs="Open Sans"/>
                <w:b/>
                <w:bCs/>
                <w:sz w:val="18"/>
                <w:szCs w:val="18"/>
              </w:rPr>
            </w:pPr>
            <w:r w:rsidRPr="00150AFC">
              <w:rPr>
                <w:rFonts w:ascii="Open Sans" w:hAnsi="Open Sans" w:cs="Open Sans"/>
                <w:b/>
                <w:bCs/>
                <w:sz w:val="18"/>
                <w:szCs w:val="18"/>
              </w:rPr>
              <w:t>Caractéristiques techniques à préciser</w:t>
            </w:r>
          </w:p>
        </w:tc>
        <w:tc>
          <w:tcPr>
            <w:tcW w:w="6143" w:type="dxa"/>
            <w:tcBorders>
              <w:top w:val="thinThickSmallGap" w:sz="24" w:space="0" w:color="auto"/>
              <w:left w:val="nil"/>
              <w:right w:val="thinThickSmallGap" w:sz="24" w:space="0" w:color="auto"/>
            </w:tcBorders>
            <w:shd w:val="clear" w:color="auto" w:fill="CCCCCC"/>
          </w:tcPr>
          <w:p w14:paraId="77F45B65" w14:textId="77777777" w:rsidR="0060742D" w:rsidRPr="00150AFC" w:rsidRDefault="0060742D" w:rsidP="00150AFC">
            <w:pPr>
              <w:jc w:val="center"/>
              <w:rPr>
                <w:rFonts w:ascii="Open Sans" w:hAnsi="Open Sans" w:cs="Open Sans"/>
                <w:b/>
                <w:bCs/>
                <w:sz w:val="18"/>
                <w:szCs w:val="18"/>
              </w:rPr>
            </w:pPr>
            <w:r w:rsidRPr="00150AFC">
              <w:rPr>
                <w:rFonts w:ascii="Open Sans" w:hAnsi="Open Sans" w:cs="Open Sans"/>
                <w:b/>
                <w:bCs/>
                <w:sz w:val="18"/>
                <w:szCs w:val="18"/>
              </w:rPr>
              <w:t>Réponse du candidat</w:t>
            </w:r>
          </w:p>
        </w:tc>
      </w:tr>
      <w:tr w:rsidR="0060742D" w:rsidRPr="00150AFC" w14:paraId="17DD76E9" w14:textId="77777777" w:rsidTr="00150AFC">
        <w:trPr>
          <w:trHeight w:val="765"/>
        </w:trPr>
        <w:tc>
          <w:tcPr>
            <w:tcW w:w="3845" w:type="dxa"/>
            <w:tcBorders>
              <w:left w:val="thinThickSmallGap" w:sz="24" w:space="0" w:color="auto"/>
            </w:tcBorders>
            <w:vAlign w:val="center"/>
          </w:tcPr>
          <w:p w14:paraId="1BE596DF" w14:textId="1E674D5D" w:rsidR="0060742D" w:rsidRPr="00150AFC" w:rsidRDefault="0060742D" w:rsidP="00150AFC">
            <w:pPr>
              <w:jc w:val="left"/>
              <w:rPr>
                <w:rFonts w:ascii="Open Sans" w:hAnsi="Open Sans" w:cs="Open Sans"/>
                <w:sz w:val="18"/>
                <w:szCs w:val="18"/>
              </w:rPr>
            </w:pPr>
            <w:r w:rsidRPr="00150AFC">
              <w:rPr>
                <w:rFonts w:ascii="Open Sans" w:hAnsi="Open Sans" w:cs="Open Sans"/>
                <w:sz w:val="18"/>
                <w:szCs w:val="18"/>
              </w:rPr>
              <w:t>Nombre de caractères disponibles</w:t>
            </w:r>
            <w:r w:rsidR="00992625" w:rsidRPr="00150AFC">
              <w:rPr>
                <w:rFonts w:ascii="Open Sans" w:hAnsi="Open Sans" w:cs="Open Sans"/>
                <w:sz w:val="18"/>
                <w:szCs w:val="18"/>
              </w:rPr>
              <w:t xml:space="preserve"> sur la carte</w:t>
            </w:r>
            <w:r w:rsidRPr="00150AFC">
              <w:rPr>
                <w:rFonts w:ascii="Open Sans" w:hAnsi="Open Sans" w:cs="Open Sans"/>
                <w:sz w:val="18"/>
                <w:szCs w:val="18"/>
              </w:rPr>
              <w:t> :</w:t>
            </w:r>
          </w:p>
          <w:p w14:paraId="249A35FB" w14:textId="79AFB6C5" w:rsidR="0060742D" w:rsidRPr="00150AFC" w:rsidRDefault="0060742D" w:rsidP="00150AFC">
            <w:pPr>
              <w:jc w:val="left"/>
              <w:rPr>
                <w:rFonts w:ascii="Open Sans" w:hAnsi="Open Sans" w:cs="Open Sans"/>
                <w:sz w:val="18"/>
                <w:szCs w:val="18"/>
              </w:rPr>
            </w:pPr>
            <w:r w:rsidRPr="00150AFC">
              <w:rPr>
                <w:rFonts w:ascii="Open Sans" w:hAnsi="Open Sans" w:cs="Open Sans"/>
                <w:sz w:val="18"/>
                <w:szCs w:val="18"/>
              </w:rPr>
              <w:t xml:space="preserve">Délai de validité </w:t>
            </w:r>
            <w:r w:rsidR="00864E31" w:rsidRPr="00150AFC">
              <w:rPr>
                <w:rFonts w:ascii="Open Sans" w:hAnsi="Open Sans" w:cs="Open Sans"/>
                <w:sz w:val="18"/>
                <w:szCs w:val="18"/>
              </w:rPr>
              <w:t xml:space="preserve">de la carte </w:t>
            </w:r>
            <w:r w:rsidRPr="00150AFC">
              <w:rPr>
                <w:rFonts w:ascii="Open Sans" w:hAnsi="Open Sans" w:cs="Open Sans"/>
                <w:sz w:val="18"/>
                <w:szCs w:val="18"/>
              </w:rPr>
              <w:t>:</w:t>
            </w:r>
          </w:p>
        </w:tc>
        <w:tc>
          <w:tcPr>
            <w:tcW w:w="6143" w:type="dxa"/>
            <w:tcBorders>
              <w:right w:val="thinThickSmallGap" w:sz="24" w:space="0" w:color="auto"/>
            </w:tcBorders>
          </w:tcPr>
          <w:p w14:paraId="4B15A165" w14:textId="77777777" w:rsidR="0060742D" w:rsidRPr="00150AFC" w:rsidRDefault="0060742D" w:rsidP="00A7298B">
            <w:pPr>
              <w:rPr>
                <w:rFonts w:ascii="Open Sans" w:hAnsi="Open Sans" w:cs="Open Sans"/>
                <w:sz w:val="18"/>
                <w:szCs w:val="18"/>
              </w:rPr>
            </w:pPr>
          </w:p>
        </w:tc>
      </w:tr>
      <w:tr w:rsidR="0060742D" w:rsidRPr="00150AFC" w14:paraId="050CCCD1" w14:textId="77777777" w:rsidTr="00150AFC">
        <w:trPr>
          <w:trHeight w:val="765"/>
        </w:trPr>
        <w:tc>
          <w:tcPr>
            <w:tcW w:w="3845" w:type="dxa"/>
            <w:tcBorders>
              <w:left w:val="thinThickSmallGap" w:sz="24" w:space="0" w:color="auto"/>
            </w:tcBorders>
            <w:vAlign w:val="center"/>
          </w:tcPr>
          <w:p w14:paraId="5649E67B" w14:textId="65038F3D" w:rsidR="0060742D" w:rsidRPr="00150AFC" w:rsidRDefault="0060742D" w:rsidP="00150AFC">
            <w:pPr>
              <w:jc w:val="left"/>
              <w:rPr>
                <w:rFonts w:ascii="Open Sans" w:hAnsi="Open Sans" w:cs="Open Sans"/>
                <w:sz w:val="18"/>
                <w:szCs w:val="18"/>
              </w:rPr>
            </w:pPr>
            <w:r w:rsidRPr="00150AFC">
              <w:rPr>
                <w:rFonts w:ascii="Open Sans" w:hAnsi="Open Sans" w:cs="Open Sans"/>
                <w:sz w:val="18"/>
                <w:szCs w:val="18"/>
              </w:rPr>
              <w:t>Délai de mise à disposition des cartes après bon de commande</w:t>
            </w:r>
          </w:p>
        </w:tc>
        <w:tc>
          <w:tcPr>
            <w:tcW w:w="6143" w:type="dxa"/>
            <w:tcBorders>
              <w:right w:val="thinThickSmallGap" w:sz="24" w:space="0" w:color="auto"/>
            </w:tcBorders>
          </w:tcPr>
          <w:p w14:paraId="6C1BE428" w14:textId="77777777" w:rsidR="0060742D" w:rsidRPr="00150AFC" w:rsidRDefault="0060742D" w:rsidP="00A7298B">
            <w:pPr>
              <w:rPr>
                <w:rFonts w:ascii="Open Sans" w:hAnsi="Open Sans" w:cs="Open Sans"/>
                <w:sz w:val="18"/>
                <w:szCs w:val="18"/>
              </w:rPr>
            </w:pPr>
          </w:p>
        </w:tc>
      </w:tr>
      <w:tr w:rsidR="0060742D" w:rsidRPr="00150AFC" w14:paraId="32738808" w14:textId="77777777" w:rsidTr="00150AFC">
        <w:trPr>
          <w:trHeight w:val="765"/>
        </w:trPr>
        <w:tc>
          <w:tcPr>
            <w:tcW w:w="3845" w:type="dxa"/>
            <w:tcBorders>
              <w:left w:val="thinThickSmallGap" w:sz="24" w:space="0" w:color="auto"/>
            </w:tcBorders>
            <w:vAlign w:val="center"/>
          </w:tcPr>
          <w:p w14:paraId="2304211F" w14:textId="2B9E79B4" w:rsidR="0060742D" w:rsidRPr="00150AFC" w:rsidRDefault="0060742D" w:rsidP="00150AFC">
            <w:pPr>
              <w:jc w:val="left"/>
              <w:rPr>
                <w:rFonts w:ascii="Open Sans" w:hAnsi="Open Sans" w:cs="Open Sans"/>
                <w:sz w:val="18"/>
                <w:szCs w:val="18"/>
              </w:rPr>
            </w:pPr>
            <w:r w:rsidRPr="00150AFC">
              <w:rPr>
                <w:rFonts w:ascii="Open Sans" w:hAnsi="Open Sans" w:cs="Open Sans"/>
                <w:sz w:val="18"/>
                <w:szCs w:val="18"/>
              </w:rPr>
              <w:t>Délai d’opposition et de blocage pour les cartes perdues ou volées</w:t>
            </w:r>
          </w:p>
        </w:tc>
        <w:tc>
          <w:tcPr>
            <w:tcW w:w="6143" w:type="dxa"/>
            <w:tcBorders>
              <w:right w:val="thinThickSmallGap" w:sz="24" w:space="0" w:color="auto"/>
            </w:tcBorders>
          </w:tcPr>
          <w:p w14:paraId="70777940" w14:textId="77777777" w:rsidR="0060742D" w:rsidRPr="00150AFC" w:rsidRDefault="0060742D" w:rsidP="00A7298B">
            <w:pPr>
              <w:rPr>
                <w:rFonts w:ascii="Open Sans" w:hAnsi="Open Sans" w:cs="Open Sans"/>
                <w:sz w:val="18"/>
                <w:szCs w:val="18"/>
              </w:rPr>
            </w:pPr>
          </w:p>
        </w:tc>
      </w:tr>
      <w:tr w:rsidR="0060742D" w:rsidRPr="00150AFC" w14:paraId="28C0C0EB" w14:textId="77777777" w:rsidTr="00150AFC">
        <w:trPr>
          <w:trHeight w:val="765"/>
        </w:trPr>
        <w:tc>
          <w:tcPr>
            <w:tcW w:w="3845" w:type="dxa"/>
            <w:tcBorders>
              <w:left w:val="thinThickSmallGap" w:sz="24" w:space="0" w:color="auto"/>
            </w:tcBorders>
            <w:vAlign w:val="center"/>
          </w:tcPr>
          <w:p w14:paraId="15367772" w14:textId="77777777" w:rsidR="0060742D" w:rsidRPr="00150AFC" w:rsidRDefault="0060742D" w:rsidP="00150AFC">
            <w:pPr>
              <w:jc w:val="left"/>
              <w:rPr>
                <w:rFonts w:ascii="Open Sans" w:hAnsi="Open Sans" w:cs="Open Sans"/>
                <w:sz w:val="18"/>
                <w:szCs w:val="18"/>
              </w:rPr>
            </w:pPr>
            <w:r w:rsidRPr="00150AFC">
              <w:rPr>
                <w:rFonts w:ascii="Open Sans" w:hAnsi="Open Sans" w:cs="Open Sans"/>
                <w:sz w:val="18"/>
                <w:szCs w:val="18"/>
              </w:rPr>
              <w:t>Types de codes confidentiels et niveau de contrôle</w:t>
            </w:r>
          </w:p>
          <w:p w14:paraId="092F1DE8" w14:textId="1DF7462E" w:rsidR="0060742D" w:rsidRPr="00150AFC" w:rsidRDefault="0060742D" w:rsidP="00150AFC">
            <w:pPr>
              <w:jc w:val="left"/>
              <w:rPr>
                <w:rFonts w:ascii="Open Sans" w:hAnsi="Open Sans" w:cs="Open Sans"/>
                <w:sz w:val="18"/>
                <w:szCs w:val="18"/>
              </w:rPr>
            </w:pPr>
            <w:r w:rsidRPr="00150AFC">
              <w:rPr>
                <w:rFonts w:ascii="Open Sans" w:hAnsi="Open Sans" w:cs="Open Sans"/>
                <w:sz w:val="18"/>
                <w:szCs w:val="18"/>
              </w:rPr>
              <w:t xml:space="preserve"> (détailler les modalités de contrôle associées aux comptes créés)</w:t>
            </w:r>
          </w:p>
        </w:tc>
        <w:tc>
          <w:tcPr>
            <w:tcW w:w="6143" w:type="dxa"/>
            <w:tcBorders>
              <w:right w:val="thinThickSmallGap" w:sz="24" w:space="0" w:color="auto"/>
            </w:tcBorders>
          </w:tcPr>
          <w:p w14:paraId="6F9B02A1" w14:textId="77777777" w:rsidR="0060742D" w:rsidRPr="00150AFC" w:rsidRDefault="0060742D" w:rsidP="00A7298B">
            <w:pPr>
              <w:rPr>
                <w:rFonts w:ascii="Open Sans" w:hAnsi="Open Sans" w:cs="Open Sans"/>
                <w:sz w:val="18"/>
                <w:szCs w:val="18"/>
              </w:rPr>
            </w:pPr>
          </w:p>
        </w:tc>
      </w:tr>
      <w:tr w:rsidR="0060742D" w:rsidRPr="00150AFC" w14:paraId="5F8EF978" w14:textId="77777777" w:rsidTr="00150AFC">
        <w:trPr>
          <w:trHeight w:val="765"/>
        </w:trPr>
        <w:tc>
          <w:tcPr>
            <w:tcW w:w="3845" w:type="dxa"/>
            <w:tcBorders>
              <w:left w:val="thinThickSmallGap" w:sz="24" w:space="0" w:color="auto"/>
            </w:tcBorders>
            <w:vAlign w:val="center"/>
          </w:tcPr>
          <w:p w14:paraId="27288455" w14:textId="324C13C0" w:rsidR="0060742D" w:rsidRPr="00150AFC" w:rsidRDefault="0060742D" w:rsidP="00150AFC">
            <w:pPr>
              <w:jc w:val="left"/>
              <w:rPr>
                <w:rFonts w:ascii="Open Sans" w:hAnsi="Open Sans" w:cs="Open Sans"/>
                <w:sz w:val="18"/>
                <w:szCs w:val="18"/>
              </w:rPr>
            </w:pPr>
            <w:r w:rsidRPr="00150AFC">
              <w:rPr>
                <w:rFonts w:ascii="Open Sans" w:hAnsi="Open Sans" w:cs="Open Sans"/>
                <w:sz w:val="18"/>
                <w:szCs w:val="18"/>
              </w:rPr>
              <w:t xml:space="preserve">Types (=caractéristiques, choix, …) de codes confidentiels </w:t>
            </w:r>
            <w:r w:rsidRPr="00150AFC">
              <w:rPr>
                <w:rFonts w:ascii="Open Sans" w:hAnsi="Open Sans" w:cs="Open Sans"/>
                <w:b/>
                <w:sz w:val="18"/>
                <w:szCs w:val="18"/>
              </w:rPr>
              <w:t>(à détailler)</w:t>
            </w:r>
          </w:p>
        </w:tc>
        <w:tc>
          <w:tcPr>
            <w:tcW w:w="6143" w:type="dxa"/>
            <w:tcBorders>
              <w:right w:val="thinThickSmallGap" w:sz="24" w:space="0" w:color="auto"/>
            </w:tcBorders>
          </w:tcPr>
          <w:p w14:paraId="58696D32" w14:textId="77777777" w:rsidR="0060742D" w:rsidRPr="00150AFC" w:rsidRDefault="0060742D" w:rsidP="00A7298B">
            <w:pPr>
              <w:rPr>
                <w:rFonts w:ascii="Open Sans" w:hAnsi="Open Sans" w:cs="Open Sans"/>
                <w:sz w:val="18"/>
                <w:szCs w:val="18"/>
              </w:rPr>
            </w:pPr>
          </w:p>
        </w:tc>
      </w:tr>
      <w:tr w:rsidR="0060742D" w:rsidRPr="00150AFC" w14:paraId="527F575B" w14:textId="77777777" w:rsidTr="00150AFC">
        <w:trPr>
          <w:trHeight w:val="765"/>
        </w:trPr>
        <w:tc>
          <w:tcPr>
            <w:tcW w:w="3845" w:type="dxa"/>
            <w:tcBorders>
              <w:left w:val="thinThickSmallGap" w:sz="24" w:space="0" w:color="auto"/>
            </w:tcBorders>
            <w:vAlign w:val="center"/>
          </w:tcPr>
          <w:p w14:paraId="0B05566D" w14:textId="77777777" w:rsidR="0060742D" w:rsidRPr="00150AFC" w:rsidRDefault="0060742D" w:rsidP="00150AFC">
            <w:pPr>
              <w:jc w:val="left"/>
              <w:rPr>
                <w:rFonts w:ascii="Open Sans" w:hAnsi="Open Sans" w:cs="Open Sans"/>
                <w:b/>
                <w:sz w:val="18"/>
                <w:szCs w:val="18"/>
              </w:rPr>
            </w:pPr>
            <w:r w:rsidRPr="00150AFC">
              <w:rPr>
                <w:rFonts w:ascii="Open Sans" w:hAnsi="Open Sans" w:cs="Open Sans"/>
                <w:sz w:val="18"/>
                <w:szCs w:val="18"/>
              </w:rPr>
              <w:t>Limitations à l’utilisation de la carte accréditive</w:t>
            </w:r>
          </w:p>
          <w:p w14:paraId="04C31F89" w14:textId="18F8DB06" w:rsidR="0060742D" w:rsidRPr="00150AFC" w:rsidRDefault="0060742D" w:rsidP="00150AFC">
            <w:pPr>
              <w:jc w:val="left"/>
              <w:rPr>
                <w:rFonts w:ascii="Open Sans" w:hAnsi="Open Sans" w:cs="Open Sans"/>
                <w:sz w:val="18"/>
                <w:szCs w:val="18"/>
              </w:rPr>
            </w:pPr>
            <w:r w:rsidRPr="00150AFC">
              <w:rPr>
                <w:rFonts w:ascii="Open Sans" w:hAnsi="Open Sans" w:cs="Open Sans"/>
                <w:b/>
                <w:sz w:val="18"/>
                <w:szCs w:val="18"/>
              </w:rPr>
              <w:t>détailler les options de contrôle dans p 7 le cas échéant</w:t>
            </w:r>
          </w:p>
        </w:tc>
        <w:tc>
          <w:tcPr>
            <w:tcW w:w="6143" w:type="dxa"/>
            <w:tcBorders>
              <w:right w:val="thinThickSmallGap" w:sz="24" w:space="0" w:color="auto"/>
            </w:tcBorders>
          </w:tcPr>
          <w:p w14:paraId="4C9D8836" w14:textId="77777777" w:rsidR="0060742D" w:rsidRPr="00150AFC" w:rsidRDefault="0060742D" w:rsidP="00A7298B">
            <w:pPr>
              <w:rPr>
                <w:rFonts w:ascii="Open Sans" w:hAnsi="Open Sans" w:cs="Open Sans"/>
                <w:sz w:val="18"/>
                <w:szCs w:val="18"/>
              </w:rPr>
            </w:pPr>
          </w:p>
        </w:tc>
      </w:tr>
      <w:tr w:rsidR="007C5358" w:rsidRPr="00150AFC" w14:paraId="31C41AE2" w14:textId="77777777" w:rsidTr="00150AFC">
        <w:trPr>
          <w:trHeight w:val="757"/>
        </w:trPr>
        <w:tc>
          <w:tcPr>
            <w:tcW w:w="3845" w:type="dxa"/>
            <w:tcBorders>
              <w:left w:val="thinThickSmallGap" w:sz="24" w:space="0" w:color="auto"/>
            </w:tcBorders>
            <w:vAlign w:val="center"/>
          </w:tcPr>
          <w:p w14:paraId="62EA7D22" w14:textId="049A21E9" w:rsidR="007C5358" w:rsidRPr="00150AFC" w:rsidRDefault="007C5358" w:rsidP="00150AFC">
            <w:pPr>
              <w:jc w:val="left"/>
              <w:rPr>
                <w:rFonts w:ascii="Open Sans" w:hAnsi="Open Sans" w:cs="Open Sans"/>
                <w:sz w:val="18"/>
                <w:szCs w:val="18"/>
              </w:rPr>
            </w:pPr>
            <w:r w:rsidRPr="00150AFC">
              <w:rPr>
                <w:rFonts w:ascii="Open Sans" w:hAnsi="Open Sans" w:cs="Open Sans"/>
                <w:sz w:val="18"/>
                <w:szCs w:val="18"/>
              </w:rPr>
              <w:t>Possibilité de fournir des cartes carburants multi-enseigne pour faciliter aux établissement</w:t>
            </w:r>
            <w:r w:rsidR="008D4D25" w:rsidRPr="00150AFC">
              <w:rPr>
                <w:rFonts w:ascii="Open Sans" w:hAnsi="Open Sans" w:cs="Open Sans"/>
                <w:sz w:val="18"/>
                <w:szCs w:val="18"/>
              </w:rPr>
              <w:t>s</w:t>
            </w:r>
            <w:r w:rsidRPr="00150AFC">
              <w:rPr>
                <w:rFonts w:ascii="Open Sans" w:hAnsi="Open Sans" w:cs="Open Sans"/>
                <w:sz w:val="18"/>
                <w:szCs w:val="18"/>
              </w:rPr>
              <w:t xml:space="preserve"> de s’approvisionner à la station la plus proche.</w:t>
            </w:r>
          </w:p>
          <w:p w14:paraId="7C685B49" w14:textId="77777777" w:rsidR="00376859" w:rsidRPr="00150AFC" w:rsidRDefault="00376859" w:rsidP="00150AFC">
            <w:pPr>
              <w:jc w:val="left"/>
              <w:rPr>
                <w:rFonts w:ascii="Open Sans" w:hAnsi="Open Sans" w:cs="Open Sans"/>
                <w:sz w:val="18"/>
                <w:szCs w:val="18"/>
              </w:rPr>
            </w:pPr>
          </w:p>
          <w:p w14:paraId="07F4928C" w14:textId="5E01EC5B" w:rsidR="007C5358" w:rsidRPr="00150AFC" w:rsidRDefault="007C5358" w:rsidP="00150AFC">
            <w:pPr>
              <w:jc w:val="left"/>
              <w:rPr>
                <w:rFonts w:ascii="Open Sans" w:hAnsi="Open Sans" w:cs="Open Sans"/>
                <w:sz w:val="18"/>
                <w:szCs w:val="18"/>
              </w:rPr>
            </w:pPr>
            <w:r w:rsidRPr="00150AFC">
              <w:rPr>
                <w:rFonts w:ascii="Open Sans" w:hAnsi="Open Sans" w:cs="Open Sans"/>
                <w:sz w:val="18"/>
                <w:szCs w:val="18"/>
              </w:rPr>
              <w:t>Si oui, fournir une liste de station</w:t>
            </w:r>
            <w:r w:rsidR="00376859" w:rsidRPr="00150AFC">
              <w:rPr>
                <w:rFonts w:ascii="Open Sans" w:hAnsi="Open Sans" w:cs="Open Sans"/>
                <w:sz w:val="18"/>
                <w:szCs w:val="18"/>
              </w:rPr>
              <w:t>s accessible avec la carte multi-enseigne</w:t>
            </w:r>
          </w:p>
        </w:tc>
        <w:tc>
          <w:tcPr>
            <w:tcW w:w="6143" w:type="dxa"/>
            <w:tcBorders>
              <w:right w:val="thinThickSmallGap" w:sz="24" w:space="0" w:color="auto"/>
            </w:tcBorders>
          </w:tcPr>
          <w:p w14:paraId="4CA6B03E" w14:textId="77777777" w:rsidR="007C5358" w:rsidRPr="00150AFC" w:rsidRDefault="007C5358" w:rsidP="00A7298B">
            <w:pPr>
              <w:rPr>
                <w:rFonts w:ascii="Open Sans" w:hAnsi="Open Sans" w:cs="Open Sans"/>
                <w:sz w:val="18"/>
                <w:szCs w:val="18"/>
              </w:rPr>
            </w:pPr>
          </w:p>
        </w:tc>
      </w:tr>
      <w:tr w:rsidR="0060742D" w:rsidRPr="00150AFC" w14:paraId="33678C87" w14:textId="77777777" w:rsidTr="00150AFC">
        <w:trPr>
          <w:trHeight w:val="765"/>
        </w:trPr>
        <w:tc>
          <w:tcPr>
            <w:tcW w:w="3845" w:type="dxa"/>
            <w:tcBorders>
              <w:left w:val="thinThickSmallGap" w:sz="24" w:space="0" w:color="auto"/>
            </w:tcBorders>
            <w:vAlign w:val="center"/>
          </w:tcPr>
          <w:p w14:paraId="4890CAD5" w14:textId="3E577450" w:rsidR="00515114" w:rsidRPr="00150AFC" w:rsidRDefault="0060742D" w:rsidP="00150AFC">
            <w:pPr>
              <w:jc w:val="left"/>
              <w:rPr>
                <w:rFonts w:ascii="Open Sans" w:hAnsi="Open Sans" w:cs="Open Sans"/>
                <w:sz w:val="18"/>
                <w:szCs w:val="18"/>
              </w:rPr>
            </w:pPr>
            <w:r w:rsidRPr="00150AFC">
              <w:rPr>
                <w:rFonts w:ascii="Open Sans" w:hAnsi="Open Sans" w:cs="Open Sans"/>
                <w:sz w:val="18"/>
                <w:szCs w:val="18"/>
              </w:rPr>
              <w:t>Modalités de contrôle sur les transactions et gestion du kilométrage (</w:t>
            </w:r>
            <w:r w:rsidRPr="00150AFC">
              <w:rPr>
                <w:rFonts w:ascii="Open Sans" w:hAnsi="Open Sans" w:cs="Open Sans"/>
                <w:b/>
                <w:bCs/>
                <w:sz w:val="18"/>
                <w:szCs w:val="18"/>
              </w:rPr>
              <w:t>préciser les modalités et les outils p 7 le cas échéant)</w:t>
            </w:r>
            <w:r w:rsidRPr="00150AFC">
              <w:rPr>
                <w:rFonts w:ascii="Open Sans" w:hAnsi="Open Sans" w:cs="Open Sans"/>
                <w:sz w:val="18"/>
                <w:szCs w:val="18"/>
              </w:rPr>
              <w:t xml:space="preserve"> </w:t>
            </w:r>
          </w:p>
        </w:tc>
        <w:tc>
          <w:tcPr>
            <w:tcW w:w="6143" w:type="dxa"/>
            <w:tcBorders>
              <w:right w:val="thinThickSmallGap" w:sz="24" w:space="0" w:color="auto"/>
            </w:tcBorders>
          </w:tcPr>
          <w:p w14:paraId="75C2208C" w14:textId="77777777" w:rsidR="0060742D" w:rsidRPr="00150AFC" w:rsidRDefault="0060742D" w:rsidP="00A7298B">
            <w:pPr>
              <w:rPr>
                <w:rFonts w:ascii="Open Sans" w:hAnsi="Open Sans" w:cs="Open Sans"/>
                <w:sz w:val="18"/>
                <w:szCs w:val="18"/>
              </w:rPr>
            </w:pPr>
          </w:p>
        </w:tc>
      </w:tr>
      <w:tr w:rsidR="00515114" w:rsidRPr="00150AFC" w14:paraId="2565E1AF" w14:textId="77777777" w:rsidTr="00150AFC">
        <w:trPr>
          <w:trHeight w:val="765"/>
        </w:trPr>
        <w:tc>
          <w:tcPr>
            <w:tcW w:w="3845" w:type="dxa"/>
            <w:tcBorders>
              <w:left w:val="thinThickSmallGap" w:sz="24" w:space="0" w:color="auto"/>
            </w:tcBorders>
            <w:vAlign w:val="center"/>
          </w:tcPr>
          <w:p w14:paraId="76124DB8" w14:textId="15E6054A" w:rsidR="00515114" w:rsidRPr="00150AFC" w:rsidRDefault="00515114" w:rsidP="00150AFC">
            <w:pPr>
              <w:jc w:val="left"/>
              <w:rPr>
                <w:rFonts w:ascii="Open Sans" w:hAnsi="Open Sans" w:cs="Open Sans"/>
                <w:sz w:val="18"/>
                <w:szCs w:val="18"/>
              </w:rPr>
            </w:pPr>
            <w:r w:rsidRPr="00150AFC">
              <w:rPr>
                <w:rFonts w:ascii="Open Sans" w:hAnsi="Open Sans" w:cs="Open Sans"/>
                <w:sz w:val="18"/>
                <w:szCs w:val="18"/>
              </w:rPr>
              <w:t>Possibilité de suivi de consommation en ligne ou via le compte client</w:t>
            </w:r>
          </w:p>
        </w:tc>
        <w:tc>
          <w:tcPr>
            <w:tcW w:w="6143" w:type="dxa"/>
            <w:tcBorders>
              <w:right w:val="thinThickSmallGap" w:sz="24" w:space="0" w:color="auto"/>
            </w:tcBorders>
          </w:tcPr>
          <w:p w14:paraId="373C751E" w14:textId="77777777" w:rsidR="00515114" w:rsidRPr="00150AFC" w:rsidRDefault="00515114" w:rsidP="00A7298B">
            <w:pPr>
              <w:rPr>
                <w:rFonts w:ascii="Open Sans" w:hAnsi="Open Sans" w:cs="Open Sans"/>
                <w:sz w:val="18"/>
                <w:szCs w:val="18"/>
              </w:rPr>
            </w:pPr>
          </w:p>
        </w:tc>
      </w:tr>
    </w:tbl>
    <w:p w14:paraId="2C897EFC" w14:textId="77777777" w:rsidR="0060742D" w:rsidRPr="00150AFC" w:rsidRDefault="0060742D" w:rsidP="00084BD4">
      <w:pPr>
        <w:widowControl w:val="0"/>
        <w:autoSpaceDE w:val="0"/>
        <w:autoSpaceDN w:val="0"/>
        <w:adjustRightInd w:val="0"/>
        <w:rPr>
          <w:rFonts w:ascii="Open Sans" w:eastAsia="Arial Unicode MS" w:hAnsi="Open Sans" w:cs="Open Sans"/>
          <w:bCs/>
          <w:iCs/>
          <w:color w:val="auto"/>
          <w:sz w:val="18"/>
          <w:szCs w:val="18"/>
        </w:rPr>
      </w:pPr>
    </w:p>
    <w:p w14:paraId="025F4F41" w14:textId="54229249" w:rsidR="00445A00" w:rsidRPr="00150AFC" w:rsidRDefault="00445A00" w:rsidP="00084BD4">
      <w:pPr>
        <w:widowControl w:val="0"/>
        <w:autoSpaceDE w:val="0"/>
        <w:autoSpaceDN w:val="0"/>
        <w:adjustRightInd w:val="0"/>
        <w:rPr>
          <w:rFonts w:ascii="Open Sans" w:eastAsia="Arial Unicode MS" w:hAnsi="Open Sans" w:cs="Open Sans"/>
          <w:bCs/>
          <w:iCs/>
          <w:color w:val="auto"/>
          <w:sz w:val="18"/>
          <w:szCs w:val="18"/>
        </w:rPr>
      </w:pPr>
    </w:p>
    <w:p w14:paraId="4D52F04E" w14:textId="1825ADCF" w:rsidR="00445A00" w:rsidRPr="00150AFC" w:rsidRDefault="00445A00" w:rsidP="00084BD4">
      <w:pPr>
        <w:widowControl w:val="0"/>
        <w:autoSpaceDE w:val="0"/>
        <w:autoSpaceDN w:val="0"/>
        <w:adjustRightInd w:val="0"/>
        <w:rPr>
          <w:rFonts w:ascii="Open Sans" w:eastAsia="Arial Unicode MS" w:hAnsi="Open Sans" w:cs="Open Sans"/>
          <w:bCs/>
          <w:iCs/>
          <w:color w:val="auto"/>
          <w:sz w:val="18"/>
          <w:szCs w:val="18"/>
        </w:rPr>
      </w:pPr>
    </w:p>
    <w:p w14:paraId="2A22A350" w14:textId="21454F87" w:rsidR="00084BD4" w:rsidRPr="00150AFC" w:rsidRDefault="00084BD4" w:rsidP="00084BD4">
      <w:pPr>
        <w:widowControl w:val="0"/>
        <w:autoSpaceDE w:val="0"/>
        <w:autoSpaceDN w:val="0"/>
        <w:adjustRightInd w:val="0"/>
        <w:rPr>
          <w:rFonts w:ascii="Open Sans" w:eastAsia="Arial Unicode MS" w:hAnsi="Open Sans" w:cs="Open Sans"/>
          <w:bCs/>
          <w:iCs/>
          <w:color w:val="auto"/>
        </w:rPr>
      </w:pPr>
    </w:p>
    <w:p w14:paraId="0DDFED89" w14:textId="77777777" w:rsidR="00084BD4" w:rsidRPr="00150AFC" w:rsidRDefault="00084BD4" w:rsidP="00084BD4">
      <w:pPr>
        <w:widowControl w:val="0"/>
        <w:autoSpaceDE w:val="0"/>
        <w:autoSpaceDN w:val="0"/>
        <w:adjustRightInd w:val="0"/>
        <w:rPr>
          <w:rFonts w:ascii="Open Sans" w:eastAsia="Arial Unicode MS" w:hAnsi="Open Sans" w:cs="Open Sans"/>
          <w:bCs/>
          <w:iCs/>
          <w:color w:val="auto"/>
        </w:rPr>
      </w:pPr>
    </w:p>
    <w:p w14:paraId="62A86075" w14:textId="77777777" w:rsidR="00084BD4" w:rsidRPr="00150AFC" w:rsidRDefault="00084BD4" w:rsidP="00084BD4">
      <w:pPr>
        <w:widowControl w:val="0"/>
        <w:autoSpaceDE w:val="0"/>
        <w:autoSpaceDN w:val="0"/>
        <w:adjustRightInd w:val="0"/>
        <w:rPr>
          <w:rFonts w:ascii="Open Sans" w:eastAsia="Arial Unicode MS" w:hAnsi="Open Sans" w:cs="Open Sans"/>
          <w:b/>
          <w:bCs/>
          <w:iCs/>
          <w:color w:val="auto"/>
          <w:u w:val="single"/>
        </w:rPr>
      </w:pPr>
      <w:r w:rsidRPr="00150AFC">
        <w:rPr>
          <w:rFonts w:ascii="Open Sans" w:eastAsia="Arial Unicode MS" w:hAnsi="Open Sans" w:cs="Open Sans"/>
          <w:b/>
          <w:bCs/>
          <w:iCs/>
          <w:color w:val="auto"/>
          <w:u w:val="single"/>
        </w:rPr>
        <w:t>Signature et cachet de la société</w:t>
      </w:r>
    </w:p>
    <w:p w14:paraId="7089517A" w14:textId="77777777" w:rsidR="00084BD4" w:rsidRPr="00150AFC" w:rsidRDefault="00084BD4" w:rsidP="00084BD4">
      <w:pPr>
        <w:widowControl w:val="0"/>
        <w:autoSpaceDE w:val="0"/>
        <w:autoSpaceDN w:val="0"/>
        <w:adjustRightInd w:val="0"/>
        <w:rPr>
          <w:rFonts w:ascii="Open Sans" w:eastAsia="Arial Unicode MS" w:hAnsi="Open Sans" w:cs="Open Sans"/>
          <w:b/>
          <w:bCs/>
          <w:iCs/>
          <w:u w:val="single"/>
        </w:rPr>
      </w:pPr>
    </w:p>
    <w:p w14:paraId="05A1100E" w14:textId="4DFDC57C" w:rsidR="00515114" w:rsidRPr="00150AFC" w:rsidRDefault="00515114">
      <w:pPr>
        <w:rPr>
          <w:rFonts w:ascii="Open Sans" w:hAnsi="Open Sans" w:cs="Open Sans"/>
        </w:rPr>
      </w:pPr>
    </w:p>
    <w:p w14:paraId="6834D11A" w14:textId="77777777" w:rsidR="00AA3DDF" w:rsidRPr="00150AFC" w:rsidRDefault="00AA3DDF">
      <w:pPr>
        <w:jc w:val="left"/>
        <w:rPr>
          <w:rFonts w:ascii="Open Sans" w:hAnsi="Open Sans" w:cs="Open Sans"/>
          <w:b/>
          <w:sz w:val="18"/>
          <w:szCs w:val="18"/>
        </w:rPr>
      </w:pPr>
      <w:r w:rsidRPr="00150AFC">
        <w:rPr>
          <w:rFonts w:ascii="Open Sans" w:hAnsi="Open Sans" w:cs="Open Sans"/>
          <w:b/>
          <w:sz w:val="18"/>
          <w:szCs w:val="18"/>
        </w:rPr>
        <w:br w:type="page"/>
      </w:r>
    </w:p>
    <w:p w14:paraId="39F2E2CB" w14:textId="3C140C9E" w:rsidR="00515114" w:rsidRPr="00150AFC" w:rsidRDefault="00515114" w:rsidP="00515114">
      <w:pPr>
        <w:rPr>
          <w:rFonts w:ascii="Open Sans" w:hAnsi="Open Sans" w:cs="Open Sans"/>
          <w:b/>
          <w:sz w:val="18"/>
          <w:szCs w:val="18"/>
        </w:rPr>
      </w:pPr>
      <w:r w:rsidRPr="00150AFC">
        <w:rPr>
          <w:rFonts w:ascii="Open Sans" w:hAnsi="Open Sans" w:cs="Open Sans"/>
          <w:b/>
          <w:sz w:val="18"/>
          <w:szCs w:val="18"/>
        </w:rPr>
        <w:lastRenderedPageBreak/>
        <w:t>CARTES DE RETRAIT DE CARBURANT ET DETAIL DES OPTIONS</w:t>
      </w:r>
    </w:p>
    <w:p w14:paraId="35F36967" w14:textId="77777777" w:rsidR="00515114" w:rsidRPr="00150AFC" w:rsidRDefault="00515114" w:rsidP="00515114">
      <w:pPr>
        <w:rPr>
          <w:rFonts w:ascii="Open Sans" w:hAnsi="Open Sans" w:cs="Open Sans"/>
          <w:b/>
          <w:sz w:val="18"/>
          <w:szCs w:val="18"/>
          <w:u w:val="single"/>
        </w:rPr>
      </w:pPr>
    </w:p>
    <w:tbl>
      <w:tblPr>
        <w:tblW w:w="9877" w:type="dxa"/>
        <w:jc w:val="center"/>
        <w:tblCellMar>
          <w:left w:w="0" w:type="dxa"/>
          <w:right w:w="0" w:type="dxa"/>
        </w:tblCellMar>
        <w:tblLook w:val="0000" w:firstRow="0" w:lastRow="0" w:firstColumn="0" w:lastColumn="0" w:noHBand="0" w:noVBand="0"/>
      </w:tblPr>
      <w:tblGrid>
        <w:gridCol w:w="2547"/>
        <w:gridCol w:w="2520"/>
        <w:gridCol w:w="2671"/>
        <w:gridCol w:w="2139"/>
      </w:tblGrid>
      <w:tr w:rsidR="00515114" w:rsidRPr="00150AFC" w14:paraId="2425D79E" w14:textId="77777777" w:rsidTr="00B24503">
        <w:trPr>
          <w:trHeight w:val="793"/>
          <w:jc w:val="center"/>
        </w:trPr>
        <w:tc>
          <w:tcPr>
            <w:tcW w:w="2547"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561F5E39" w14:textId="77777777" w:rsidR="00515114" w:rsidRPr="00150AFC" w:rsidRDefault="00515114" w:rsidP="008D4D25">
            <w:pPr>
              <w:jc w:val="center"/>
              <w:rPr>
                <w:rFonts w:ascii="Open Sans" w:hAnsi="Open Sans" w:cs="Open Sans"/>
                <w:b/>
                <w:bCs/>
                <w:sz w:val="18"/>
                <w:szCs w:val="18"/>
              </w:rPr>
            </w:pPr>
            <w:r w:rsidRPr="00150AFC">
              <w:rPr>
                <w:rFonts w:ascii="Open Sans" w:hAnsi="Open Sans" w:cs="Open Sans"/>
                <w:b/>
                <w:bCs/>
                <w:sz w:val="18"/>
                <w:szCs w:val="18"/>
              </w:rPr>
              <w:t>Descriptif des types de cartes</w:t>
            </w:r>
          </w:p>
        </w:tc>
        <w:tc>
          <w:tcPr>
            <w:tcW w:w="2520"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0C6E8754" w14:textId="134C3A6A" w:rsidR="00515114" w:rsidRPr="00150AFC" w:rsidRDefault="008D4D25" w:rsidP="008D4D25">
            <w:pPr>
              <w:jc w:val="center"/>
              <w:rPr>
                <w:rFonts w:ascii="Open Sans" w:hAnsi="Open Sans" w:cs="Open Sans"/>
                <w:b/>
                <w:bCs/>
                <w:sz w:val="18"/>
                <w:szCs w:val="18"/>
              </w:rPr>
            </w:pPr>
            <w:r w:rsidRPr="00150AFC">
              <w:rPr>
                <w:rFonts w:ascii="Open Sans" w:hAnsi="Open Sans" w:cs="Open Sans"/>
                <w:b/>
                <w:bCs/>
                <w:sz w:val="18"/>
                <w:szCs w:val="18"/>
              </w:rPr>
              <w:t>O</w:t>
            </w:r>
            <w:r w:rsidR="00515114" w:rsidRPr="00150AFC">
              <w:rPr>
                <w:rFonts w:ascii="Open Sans" w:hAnsi="Open Sans" w:cs="Open Sans"/>
                <w:b/>
                <w:bCs/>
                <w:sz w:val="18"/>
                <w:szCs w:val="18"/>
              </w:rPr>
              <w:t>ptions</w:t>
            </w:r>
          </w:p>
        </w:tc>
        <w:tc>
          <w:tcPr>
            <w:tcW w:w="2671"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074A5419" w14:textId="7FCDC003" w:rsidR="00515114" w:rsidRPr="00150AFC" w:rsidRDefault="008D4D25" w:rsidP="008D4D25">
            <w:pPr>
              <w:jc w:val="center"/>
              <w:rPr>
                <w:rFonts w:ascii="Open Sans" w:hAnsi="Open Sans" w:cs="Open Sans"/>
                <w:b/>
                <w:bCs/>
                <w:sz w:val="18"/>
                <w:szCs w:val="18"/>
              </w:rPr>
            </w:pPr>
            <w:r w:rsidRPr="00150AFC">
              <w:rPr>
                <w:rFonts w:ascii="Open Sans" w:hAnsi="Open Sans" w:cs="Open Sans"/>
                <w:b/>
                <w:bCs/>
                <w:sz w:val="18"/>
                <w:szCs w:val="18"/>
              </w:rPr>
              <w:t>O</w:t>
            </w:r>
            <w:r w:rsidR="00515114" w:rsidRPr="00150AFC">
              <w:rPr>
                <w:rFonts w:ascii="Open Sans" w:hAnsi="Open Sans" w:cs="Open Sans"/>
                <w:b/>
                <w:bCs/>
                <w:sz w:val="18"/>
                <w:szCs w:val="18"/>
              </w:rPr>
              <w:t>utils de gestion/contrôle mis à disposition de l'utilisateur*</w:t>
            </w:r>
          </w:p>
        </w:tc>
        <w:tc>
          <w:tcPr>
            <w:tcW w:w="2139"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4988E77F" w14:textId="66A33D1D" w:rsidR="00515114" w:rsidRPr="00150AFC" w:rsidRDefault="008D4D25" w:rsidP="008D4D25">
            <w:pPr>
              <w:jc w:val="center"/>
              <w:rPr>
                <w:rFonts w:ascii="Open Sans" w:hAnsi="Open Sans" w:cs="Open Sans"/>
                <w:b/>
                <w:bCs/>
                <w:sz w:val="18"/>
                <w:szCs w:val="18"/>
              </w:rPr>
            </w:pPr>
            <w:r w:rsidRPr="00150AFC">
              <w:rPr>
                <w:rFonts w:ascii="Open Sans" w:hAnsi="Open Sans" w:cs="Open Sans"/>
                <w:b/>
                <w:bCs/>
                <w:sz w:val="18"/>
                <w:szCs w:val="18"/>
              </w:rPr>
              <w:t>C</w:t>
            </w:r>
            <w:r w:rsidR="00515114" w:rsidRPr="00150AFC">
              <w:rPr>
                <w:rFonts w:ascii="Open Sans" w:hAnsi="Open Sans" w:cs="Open Sans"/>
                <w:b/>
                <w:bCs/>
                <w:sz w:val="18"/>
                <w:szCs w:val="18"/>
              </w:rPr>
              <w:t>oût de l'abonnement annuel* éventuel</w:t>
            </w:r>
          </w:p>
        </w:tc>
      </w:tr>
      <w:tr w:rsidR="00515114" w:rsidRPr="00150AFC" w14:paraId="0B876D2B" w14:textId="77777777" w:rsidTr="00B24503">
        <w:trPr>
          <w:trHeight w:val="697"/>
          <w:jc w:val="center"/>
        </w:trPr>
        <w:tc>
          <w:tcPr>
            <w:tcW w:w="254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ACD9220"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c>
          <w:tcPr>
            <w:tcW w:w="25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6BCBA4"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c>
          <w:tcPr>
            <w:tcW w:w="2671" w:type="dxa"/>
            <w:tcBorders>
              <w:top w:val="nil"/>
              <w:left w:val="nil"/>
              <w:bottom w:val="single" w:sz="4" w:space="0" w:color="auto"/>
              <w:right w:val="single" w:sz="4" w:space="0" w:color="auto"/>
            </w:tcBorders>
            <w:tcMar>
              <w:top w:w="15" w:type="dxa"/>
              <w:left w:w="15" w:type="dxa"/>
              <w:bottom w:w="0" w:type="dxa"/>
              <w:right w:w="15" w:type="dxa"/>
            </w:tcMar>
            <w:vAlign w:val="center"/>
          </w:tcPr>
          <w:p w14:paraId="11700947" w14:textId="77777777" w:rsidR="00515114" w:rsidRPr="00150AFC" w:rsidRDefault="00515114" w:rsidP="00515114">
            <w:pPr>
              <w:jc w:val="center"/>
              <w:rPr>
                <w:rFonts w:ascii="Open Sans" w:hAnsi="Open Sans" w:cs="Open Sans"/>
                <w:sz w:val="18"/>
                <w:szCs w:val="18"/>
              </w:rPr>
            </w:pPr>
            <w:r w:rsidRPr="00150AFC">
              <w:rPr>
                <w:rFonts w:ascii="Open Sans" w:hAnsi="Open Sans" w:cs="Open Sans"/>
                <w:sz w:val="18"/>
                <w:szCs w:val="18"/>
              </w:rPr>
              <w:t>détailler les outils de suivi et de contrôle des consommations</w:t>
            </w:r>
          </w:p>
        </w:tc>
        <w:tc>
          <w:tcPr>
            <w:tcW w:w="2139" w:type="dxa"/>
            <w:tcBorders>
              <w:top w:val="nil"/>
              <w:left w:val="nil"/>
              <w:bottom w:val="single" w:sz="4" w:space="0" w:color="auto"/>
              <w:right w:val="single" w:sz="4" w:space="0" w:color="auto"/>
            </w:tcBorders>
            <w:tcMar>
              <w:top w:w="15" w:type="dxa"/>
              <w:left w:w="15" w:type="dxa"/>
              <w:bottom w:w="0" w:type="dxa"/>
              <w:right w:w="15" w:type="dxa"/>
            </w:tcMar>
            <w:vAlign w:val="center"/>
          </w:tcPr>
          <w:p w14:paraId="1220B333" w14:textId="77777777" w:rsidR="00515114" w:rsidRPr="00150AFC" w:rsidRDefault="00515114" w:rsidP="00515114">
            <w:pPr>
              <w:jc w:val="center"/>
              <w:rPr>
                <w:rFonts w:ascii="Open Sans" w:hAnsi="Open Sans" w:cs="Open Sans"/>
                <w:sz w:val="18"/>
                <w:szCs w:val="18"/>
              </w:rPr>
            </w:pPr>
            <w:r w:rsidRPr="00150AFC">
              <w:rPr>
                <w:rFonts w:ascii="Open Sans" w:hAnsi="Open Sans" w:cs="Open Sans"/>
                <w:sz w:val="18"/>
                <w:szCs w:val="18"/>
              </w:rPr>
              <w:t>* préciser le coût du renouvellement si différent de l'abonnement initial</w:t>
            </w:r>
          </w:p>
        </w:tc>
      </w:tr>
      <w:tr w:rsidR="00515114" w:rsidRPr="00150AFC" w14:paraId="3AA10A40" w14:textId="77777777" w:rsidTr="00B24503">
        <w:trPr>
          <w:trHeight w:val="601"/>
          <w:jc w:val="center"/>
        </w:trPr>
        <w:tc>
          <w:tcPr>
            <w:tcW w:w="254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573C297"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carte standard</w:t>
            </w:r>
          </w:p>
        </w:tc>
        <w:tc>
          <w:tcPr>
            <w:tcW w:w="25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FD0EFF"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3514F2"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714641"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r>
      <w:tr w:rsidR="00515114" w:rsidRPr="00150AFC" w14:paraId="26D7EB69" w14:textId="77777777" w:rsidTr="00B24503">
        <w:trPr>
          <w:trHeight w:val="711"/>
          <w:jc w:val="center"/>
        </w:trPr>
        <w:tc>
          <w:tcPr>
            <w:tcW w:w="254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F12FC89"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carte avec options</w:t>
            </w:r>
          </w:p>
        </w:tc>
        <w:tc>
          <w:tcPr>
            <w:tcW w:w="25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EF1F5"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4503D9"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B14604"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r>
      <w:tr w:rsidR="00515114" w:rsidRPr="00150AFC" w14:paraId="76F2071E" w14:textId="77777777" w:rsidTr="00B24503">
        <w:trPr>
          <w:trHeight w:val="683"/>
          <w:jc w:val="center"/>
        </w:trPr>
        <w:tc>
          <w:tcPr>
            <w:tcW w:w="254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59ACF7F"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ajouter le cas échéant les autres niveaux d'options</w:t>
            </w:r>
          </w:p>
        </w:tc>
        <w:tc>
          <w:tcPr>
            <w:tcW w:w="25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1715F3"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B1EAD0"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89F7BD" w14:textId="77777777" w:rsidR="00515114" w:rsidRPr="00150AFC" w:rsidRDefault="00515114" w:rsidP="00A7298B">
            <w:pPr>
              <w:rPr>
                <w:rFonts w:ascii="Open Sans" w:hAnsi="Open Sans" w:cs="Open Sans"/>
                <w:sz w:val="18"/>
                <w:szCs w:val="18"/>
              </w:rPr>
            </w:pPr>
            <w:r w:rsidRPr="00150AFC">
              <w:rPr>
                <w:rFonts w:ascii="Open Sans" w:hAnsi="Open Sans" w:cs="Open Sans"/>
                <w:sz w:val="18"/>
                <w:szCs w:val="18"/>
              </w:rPr>
              <w:t> </w:t>
            </w:r>
          </w:p>
        </w:tc>
      </w:tr>
    </w:tbl>
    <w:p w14:paraId="3E07F4AC" w14:textId="77777777" w:rsidR="00515114" w:rsidRPr="00150AFC" w:rsidRDefault="00515114" w:rsidP="00515114">
      <w:pPr>
        <w:rPr>
          <w:rFonts w:ascii="Open Sans" w:hAnsi="Open Sans" w:cs="Open Sans"/>
          <w:sz w:val="18"/>
          <w:szCs w:val="18"/>
        </w:rPr>
      </w:pPr>
    </w:p>
    <w:p w14:paraId="3CFBEB56" w14:textId="77777777" w:rsidR="00515114" w:rsidRPr="00150AFC" w:rsidRDefault="00515114" w:rsidP="00515114">
      <w:pPr>
        <w:rPr>
          <w:rFonts w:ascii="Open Sans" w:hAnsi="Open Sans" w:cs="Open Sans"/>
          <w:sz w:val="18"/>
          <w:szCs w:val="18"/>
        </w:rPr>
      </w:pPr>
    </w:p>
    <w:p w14:paraId="4A34F912" w14:textId="77777777" w:rsidR="00515114" w:rsidRPr="00150AFC" w:rsidRDefault="00515114" w:rsidP="00515114">
      <w:pPr>
        <w:rPr>
          <w:rFonts w:ascii="Open Sans" w:hAnsi="Open Sans" w:cs="Open Sans"/>
          <w:sz w:val="18"/>
          <w:szCs w:val="18"/>
        </w:rPr>
      </w:pPr>
    </w:p>
    <w:p w14:paraId="5524813A" w14:textId="77777777" w:rsidR="00515114" w:rsidRPr="00150AFC" w:rsidRDefault="00515114" w:rsidP="00515114">
      <w:pPr>
        <w:rPr>
          <w:rFonts w:ascii="Open Sans" w:hAnsi="Open Sans" w:cs="Open Sans"/>
          <w:sz w:val="18"/>
          <w:szCs w:val="18"/>
        </w:rPr>
      </w:pPr>
    </w:p>
    <w:p w14:paraId="49EF1919" w14:textId="77777777" w:rsidR="00515114" w:rsidRPr="00150AFC" w:rsidRDefault="00515114" w:rsidP="00515114">
      <w:pPr>
        <w:rPr>
          <w:rFonts w:ascii="Open Sans" w:hAnsi="Open Sans" w:cs="Open Sans"/>
          <w:sz w:val="18"/>
          <w:szCs w:val="18"/>
        </w:rPr>
      </w:pPr>
    </w:p>
    <w:p w14:paraId="32AA5FBD" w14:textId="77777777" w:rsidR="00515114" w:rsidRPr="00150AFC" w:rsidRDefault="00515114" w:rsidP="00515114">
      <w:pPr>
        <w:rPr>
          <w:rFonts w:ascii="Open Sans" w:hAnsi="Open Sans" w:cs="Open Sans"/>
          <w:sz w:val="18"/>
          <w:szCs w:val="18"/>
        </w:rPr>
      </w:pPr>
    </w:p>
    <w:p w14:paraId="02F5493F" w14:textId="77777777" w:rsidR="00515114" w:rsidRPr="00150AFC" w:rsidRDefault="00515114" w:rsidP="00515114">
      <w:pPr>
        <w:rPr>
          <w:rFonts w:ascii="Open Sans" w:hAnsi="Open Sans" w:cs="Open Sans"/>
          <w:sz w:val="18"/>
          <w:szCs w:val="18"/>
        </w:rPr>
      </w:pPr>
    </w:p>
    <w:p w14:paraId="258D17AD" w14:textId="77777777" w:rsidR="00515114" w:rsidRPr="00150AFC" w:rsidRDefault="00515114" w:rsidP="00515114">
      <w:pPr>
        <w:rPr>
          <w:rFonts w:ascii="Open Sans" w:hAnsi="Open Sans" w:cs="Open Sans"/>
          <w:sz w:val="18"/>
          <w:szCs w:val="18"/>
        </w:rPr>
      </w:pPr>
    </w:p>
    <w:p w14:paraId="1AB3F96E" w14:textId="77777777" w:rsidR="00515114" w:rsidRPr="00150AFC" w:rsidRDefault="00515114" w:rsidP="00515114">
      <w:pPr>
        <w:rPr>
          <w:rFonts w:ascii="Open Sans" w:hAnsi="Open Sans" w:cs="Open Sans"/>
          <w:sz w:val="18"/>
          <w:szCs w:val="18"/>
        </w:rPr>
      </w:pPr>
    </w:p>
    <w:p w14:paraId="52423E2E" w14:textId="17F12F65" w:rsidR="00515114" w:rsidRPr="00150AFC" w:rsidRDefault="00515114" w:rsidP="00515114">
      <w:pPr>
        <w:rPr>
          <w:rFonts w:ascii="Open Sans" w:hAnsi="Open Sans" w:cs="Open Sans"/>
          <w:b/>
          <w:sz w:val="18"/>
          <w:szCs w:val="18"/>
        </w:rPr>
      </w:pPr>
      <w:r w:rsidRPr="00150AFC">
        <w:rPr>
          <w:rFonts w:ascii="Open Sans" w:hAnsi="Open Sans" w:cs="Open Sans"/>
          <w:b/>
          <w:sz w:val="18"/>
          <w:szCs w:val="18"/>
        </w:rPr>
        <w:t>Signature et cachet de la société</w:t>
      </w:r>
    </w:p>
    <w:p w14:paraId="343860E0" w14:textId="17829A3C" w:rsidR="00515114" w:rsidRPr="00150AFC" w:rsidRDefault="00515114">
      <w:pPr>
        <w:rPr>
          <w:rFonts w:ascii="Open Sans" w:hAnsi="Open Sans" w:cs="Open Sans"/>
          <w:sz w:val="18"/>
          <w:szCs w:val="18"/>
        </w:rPr>
      </w:pPr>
    </w:p>
    <w:p w14:paraId="0863B901" w14:textId="76E3299C" w:rsidR="00515114" w:rsidRPr="00150AFC" w:rsidRDefault="00515114">
      <w:pPr>
        <w:rPr>
          <w:rFonts w:ascii="Open Sans" w:hAnsi="Open Sans" w:cs="Open Sans"/>
        </w:rPr>
      </w:pPr>
    </w:p>
    <w:p w14:paraId="03C03F5C" w14:textId="77C7A41F" w:rsidR="00515114" w:rsidRPr="00150AFC" w:rsidRDefault="00515114">
      <w:pPr>
        <w:rPr>
          <w:rFonts w:ascii="Open Sans" w:hAnsi="Open Sans" w:cs="Open Sans"/>
        </w:rPr>
      </w:pPr>
    </w:p>
    <w:p w14:paraId="40F0271B" w14:textId="66F71A56" w:rsidR="00515114" w:rsidRPr="00150AFC" w:rsidRDefault="00515114">
      <w:pPr>
        <w:rPr>
          <w:rFonts w:ascii="Open Sans" w:hAnsi="Open Sans" w:cs="Open Sans"/>
        </w:rPr>
      </w:pPr>
    </w:p>
    <w:p w14:paraId="30BA4557" w14:textId="78F36163" w:rsidR="00515114" w:rsidRPr="00150AFC" w:rsidRDefault="00515114">
      <w:pPr>
        <w:rPr>
          <w:rFonts w:ascii="Open Sans" w:hAnsi="Open Sans" w:cs="Open Sans"/>
        </w:rPr>
      </w:pPr>
    </w:p>
    <w:p w14:paraId="2BEC0EAC" w14:textId="4015688E" w:rsidR="00515114" w:rsidRPr="00150AFC" w:rsidRDefault="00515114">
      <w:pPr>
        <w:rPr>
          <w:rFonts w:ascii="Open Sans" w:hAnsi="Open Sans" w:cs="Open Sans"/>
        </w:rPr>
      </w:pPr>
    </w:p>
    <w:p w14:paraId="1058D3B3" w14:textId="08F5D146" w:rsidR="00515114" w:rsidRPr="00150AFC" w:rsidRDefault="00515114">
      <w:pPr>
        <w:rPr>
          <w:rFonts w:ascii="Open Sans" w:hAnsi="Open Sans" w:cs="Open Sans"/>
        </w:rPr>
      </w:pPr>
    </w:p>
    <w:p w14:paraId="596A2C71" w14:textId="319FEE0A" w:rsidR="00515114" w:rsidRPr="00150AFC" w:rsidRDefault="00515114">
      <w:pPr>
        <w:rPr>
          <w:rFonts w:ascii="Open Sans" w:hAnsi="Open Sans" w:cs="Open Sans"/>
        </w:rPr>
      </w:pPr>
    </w:p>
    <w:p w14:paraId="5F7BBBC4" w14:textId="7EEF8CCA" w:rsidR="00515114" w:rsidRPr="00150AFC" w:rsidRDefault="00515114">
      <w:pPr>
        <w:rPr>
          <w:rFonts w:ascii="Open Sans" w:hAnsi="Open Sans" w:cs="Open Sans"/>
        </w:rPr>
      </w:pPr>
    </w:p>
    <w:p w14:paraId="46F92FAC" w14:textId="186C0D18" w:rsidR="00515114" w:rsidRPr="00150AFC" w:rsidRDefault="00515114">
      <w:pPr>
        <w:rPr>
          <w:rFonts w:ascii="Open Sans" w:hAnsi="Open Sans" w:cs="Open Sans"/>
        </w:rPr>
      </w:pPr>
    </w:p>
    <w:p w14:paraId="043F142F" w14:textId="6CA21DBD" w:rsidR="00515114" w:rsidRPr="00150AFC" w:rsidRDefault="00515114">
      <w:pPr>
        <w:rPr>
          <w:rFonts w:ascii="Open Sans" w:hAnsi="Open Sans" w:cs="Open Sans"/>
        </w:rPr>
      </w:pPr>
    </w:p>
    <w:p w14:paraId="225BDB57" w14:textId="5051D6E4" w:rsidR="00515114" w:rsidRPr="00150AFC" w:rsidRDefault="00515114">
      <w:pPr>
        <w:rPr>
          <w:rFonts w:ascii="Open Sans" w:hAnsi="Open Sans" w:cs="Open Sans"/>
        </w:rPr>
      </w:pPr>
    </w:p>
    <w:p w14:paraId="6EADC3B7" w14:textId="5E36A7AF" w:rsidR="00515114" w:rsidRPr="00150AFC" w:rsidRDefault="00515114">
      <w:pPr>
        <w:rPr>
          <w:rFonts w:ascii="Open Sans" w:hAnsi="Open Sans" w:cs="Open Sans"/>
        </w:rPr>
      </w:pPr>
    </w:p>
    <w:p w14:paraId="71CBDE41" w14:textId="4A41E0A5" w:rsidR="00113D8F" w:rsidRPr="00150AFC" w:rsidRDefault="00113D8F">
      <w:pPr>
        <w:jc w:val="left"/>
        <w:rPr>
          <w:rFonts w:ascii="Open Sans" w:hAnsi="Open Sans" w:cs="Open Sans"/>
        </w:rPr>
      </w:pPr>
      <w:r w:rsidRPr="00150AFC">
        <w:rPr>
          <w:rFonts w:ascii="Open Sans" w:hAnsi="Open Sans" w:cs="Open Sans"/>
        </w:rPr>
        <w:br w:type="page"/>
      </w:r>
    </w:p>
    <w:p w14:paraId="5C5404B6" w14:textId="77777777" w:rsidR="004800E4" w:rsidRPr="00150AFC" w:rsidRDefault="004800E4">
      <w:pPr>
        <w:rPr>
          <w:rFonts w:ascii="Open Sans" w:hAnsi="Open Sans" w:cs="Open Sans"/>
        </w:rPr>
      </w:pPr>
    </w:p>
    <w:p w14:paraId="40D13612" w14:textId="4D4E1077" w:rsidR="004800E4" w:rsidRPr="00150AFC" w:rsidRDefault="004800E4" w:rsidP="008D4D25">
      <w:pPr>
        <w:pStyle w:val="Titre1"/>
        <w:rPr>
          <w:strike/>
        </w:rPr>
      </w:pPr>
      <w:bookmarkStart w:id="28" w:name="_Toc211526474"/>
      <w:r w:rsidRPr="00150AFC">
        <w:t>Annexe n° 2 : Cadre de réponse environnementale</w:t>
      </w:r>
      <w:bookmarkEnd w:id="28"/>
      <w:r w:rsidRPr="00150AFC">
        <w:t xml:space="preserve"> </w:t>
      </w:r>
      <w:r w:rsidRPr="00150AFC">
        <w:rPr>
          <w:strike/>
        </w:rPr>
        <w:t xml:space="preserve"> </w:t>
      </w:r>
    </w:p>
    <w:tbl>
      <w:tblPr>
        <w:tblStyle w:val="Grilledutableau"/>
        <w:tblW w:w="9344" w:type="dxa"/>
        <w:tblLook w:val="04A0" w:firstRow="1" w:lastRow="0" w:firstColumn="1" w:lastColumn="0" w:noHBand="0" w:noVBand="1"/>
      </w:tblPr>
      <w:tblGrid>
        <w:gridCol w:w="3964"/>
        <w:gridCol w:w="5380"/>
      </w:tblGrid>
      <w:tr w:rsidR="0063767A" w:rsidRPr="00150AFC" w14:paraId="4AD849E4" w14:textId="77777777" w:rsidTr="008D4D25">
        <w:trPr>
          <w:trHeight w:val="1247"/>
        </w:trPr>
        <w:tc>
          <w:tcPr>
            <w:tcW w:w="3964" w:type="dxa"/>
            <w:vAlign w:val="center"/>
          </w:tcPr>
          <w:p w14:paraId="1BDDB5AC" w14:textId="604DDC11" w:rsidR="0063767A" w:rsidRPr="00150AFC" w:rsidRDefault="0063767A" w:rsidP="008D4D25">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Les cartes proposées sont-elles faites à partir de produits recyclés ou de produits issus de l’économie circulaire ?</w:t>
            </w:r>
          </w:p>
        </w:tc>
        <w:tc>
          <w:tcPr>
            <w:tcW w:w="5380" w:type="dxa"/>
            <w:vAlign w:val="center"/>
          </w:tcPr>
          <w:p w14:paraId="238F4860" w14:textId="77777777" w:rsidR="0063767A" w:rsidRPr="00150AFC" w:rsidRDefault="0063767A" w:rsidP="008D4D25">
            <w:pPr>
              <w:widowControl w:val="0"/>
              <w:autoSpaceDE w:val="0"/>
              <w:autoSpaceDN w:val="0"/>
              <w:adjustRightInd w:val="0"/>
              <w:jc w:val="left"/>
              <w:rPr>
                <w:rFonts w:ascii="Open Sans" w:hAnsi="Open Sans" w:cs="Open Sans"/>
                <w:sz w:val="18"/>
                <w:szCs w:val="18"/>
              </w:rPr>
            </w:pPr>
          </w:p>
        </w:tc>
      </w:tr>
      <w:tr w:rsidR="006C4208" w:rsidRPr="00150AFC" w14:paraId="6CBFE2C9" w14:textId="77777777" w:rsidTr="008D4D25">
        <w:trPr>
          <w:trHeight w:val="1247"/>
        </w:trPr>
        <w:tc>
          <w:tcPr>
            <w:tcW w:w="3964" w:type="dxa"/>
            <w:vAlign w:val="center"/>
          </w:tcPr>
          <w:p w14:paraId="3B509A48" w14:textId="48F2D809" w:rsidR="006C4208" w:rsidRPr="00150AFC" w:rsidRDefault="006C4208" w:rsidP="008D4D25">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Préciser les modalités de récupération des cartes</w:t>
            </w:r>
          </w:p>
        </w:tc>
        <w:tc>
          <w:tcPr>
            <w:tcW w:w="5380" w:type="dxa"/>
            <w:vAlign w:val="center"/>
          </w:tcPr>
          <w:p w14:paraId="1E3B873D" w14:textId="77777777" w:rsidR="006C4208" w:rsidRPr="00150AFC" w:rsidRDefault="006C4208" w:rsidP="008D4D25">
            <w:pPr>
              <w:widowControl w:val="0"/>
              <w:autoSpaceDE w:val="0"/>
              <w:autoSpaceDN w:val="0"/>
              <w:adjustRightInd w:val="0"/>
              <w:jc w:val="left"/>
              <w:rPr>
                <w:rFonts w:ascii="Open Sans" w:hAnsi="Open Sans" w:cs="Open Sans"/>
                <w:sz w:val="18"/>
                <w:szCs w:val="18"/>
              </w:rPr>
            </w:pPr>
          </w:p>
        </w:tc>
      </w:tr>
      <w:tr w:rsidR="0063767A" w:rsidRPr="00150AFC" w14:paraId="20F6FB00" w14:textId="77777777" w:rsidTr="008D4D25">
        <w:trPr>
          <w:trHeight w:val="1247"/>
        </w:trPr>
        <w:tc>
          <w:tcPr>
            <w:tcW w:w="3964" w:type="dxa"/>
            <w:vAlign w:val="center"/>
          </w:tcPr>
          <w:p w14:paraId="5D27A6B3" w14:textId="1D5BA822" w:rsidR="0063767A" w:rsidRPr="00150AFC" w:rsidRDefault="0063767A" w:rsidP="008D4D25">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Moyens proposés dans le cadre de la livraison des cartes pour limiter l’impact carbone</w:t>
            </w:r>
          </w:p>
        </w:tc>
        <w:tc>
          <w:tcPr>
            <w:tcW w:w="5380" w:type="dxa"/>
            <w:vAlign w:val="center"/>
          </w:tcPr>
          <w:p w14:paraId="55330295" w14:textId="77777777" w:rsidR="0063767A" w:rsidRPr="00150AFC" w:rsidRDefault="0063767A" w:rsidP="008D4D25">
            <w:pPr>
              <w:widowControl w:val="0"/>
              <w:autoSpaceDE w:val="0"/>
              <w:autoSpaceDN w:val="0"/>
              <w:adjustRightInd w:val="0"/>
              <w:jc w:val="left"/>
              <w:rPr>
                <w:rFonts w:ascii="Open Sans" w:hAnsi="Open Sans" w:cs="Open Sans"/>
                <w:sz w:val="18"/>
                <w:szCs w:val="18"/>
              </w:rPr>
            </w:pPr>
          </w:p>
        </w:tc>
      </w:tr>
      <w:tr w:rsidR="0063767A" w:rsidRPr="00150AFC" w14:paraId="775916F2" w14:textId="77777777" w:rsidTr="008D4D25">
        <w:trPr>
          <w:trHeight w:val="1247"/>
        </w:trPr>
        <w:tc>
          <w:tcPr>
            <w:tcW w:w="3964" w:type="dxa"/>
            <w:vAlign w:val="center"/>
          </w:tcPr>
          <w:p w14:paraId="3E0805EB" w14:textId="369EE160" w:rsidR="0063767A" w:rsidRPr="00150AFC" w:rsidRDefault="0063767A" w:rsidP="008D4D25">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 xml:space="preserve">Nombre de stations-services entrants dans le réseau proposé </w:t>
            </w:r>
            <w:r w:rsidR="006C4208" w:rsidRPr="00150AFC">
              <w:rPr>
                <w:rFonts w:ascii="Open Sans" w:hAnsi="Open Sans" w:cs="Open Sans"/>
                <w:sz w:val="18"/>
                <w:szCs w:val="18"/>
              </w:rPr>
              <w:t>permettant l’approvisionnement en</w:t>
            </w:r>
            <w:r w:rsidRPr="00150AFC">
              <w:rPr>
                <w:rFonts w:ascii="Open Sans" w:hAnsi="Open Sans" w:cs="Open Sans"/>
                <w:sz w:val="18"/>
                <w:szCs w:val="18"/>
              </w:rPr>
              <w:t xml:space="preserve"> bio-carburants</w:t>
            </w:r>
          </w:p>
        </w:tc>
        <w:tc>
          <w:tcPr>
            <w:tcW w:w="5380" w:type="dxa"/>
            <w:vAlign w:val="center"/>
          </w:tcPr>
          <w:p w14:paraId="54D7D6D2" w14:textId="77777777" w:rsidR="0063767A" w:rsidRPr="00150AFC" w:rsidRDefault="0063767A" w:rsidP="008D4D25">
            <w:pPr>
              <w:widowControl w:val="0"/>
              <w:autoSpaceDE w:val="0"/>
              <w:autoSpaceDN w:val="0"/>
              <w:adjustRightInd w:val="0"/>
              <w:jc w:val="left"/>
              <w:rPr>
                <w:rFonts w:ascii="Open Sans" w:hAnsi="Open Sans" w:cs="Open Sans"/>
                <w:sz w:val="18"/>
                <w:szCs w:val="18"/>
              </w:rPr>
            </w:pPr>
          </w:p>
        </w:tc>
      </w:tr>
      <w:tr w:rsidR="0063767A" w:rsidRPr="00150AFC" w14:paraId="42DAB691" w14:textId="77777777" w:rsidTr="008D4D25">
        <w:trPr>
          <w:trHeight w:val="1247"/>
        </w:trPr>
        <w:tc>
          <w:tcPr>
            <w:tcW w:w="3964" w:type="dxa"/>
            <w:vAlign w:val="center"/>
          </w:tcPr>
          <w:p w14:paraId="2FD227E5" w14:textId="77777777" w:rsidR="0063767A" w:rsidRPr="00150AFC" w:rsidRDefault="0063767A" w:rsidP="008D4D25">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 xml:space="preserve">Nombre de stations-services entrants dans le réseau proposé fonctionnant grâce aux panneaux solaires </w:t>
            </w:r>
          </w:p>
        </w:tc>
        <w:tc>
          <w:tcPr>
            <w:tcW w:w="5380" w:type="dxa"/>
            <w:vAlign w:val="center"/>
          </w:tcPr>
          <w:p w14:paraId="2C5137E9" w14:textId="77777777" w:rsidR="0063767A" w:rsidRPr="00150AFC" w:rsidRDefault="0063767A" w:rsidP="008D4D25">
            <w:pPr>
              <w:widowControl w:val="0"/>
              <w:autoSpaceDE w:val="0"/>
              <w:autoSpaceDN w:val="0"/>
              <w:adjustRightInd w:val="0"/>
              <w:jc w:val="left"/>
              <w:rPr>
                <w:rFonts w:ascii="Open Sans" w:hAnsi="Open Sans" w:cs="Open Sans"/>
                <w:sz w:val="18"/>
                <w:szCs w:val="18"/>
              </w:rPr>
            </w:pPr>
          </w:p>
        </w:tc>
      </w:tr>
      <w:tr w:rsidR="0063767A" w:rsidRPr="00150AFC" w14:paraId="24C690E5" w14:textId="77777777" w:rsidTr="008D4D25">
        <w:trPr>
          <w:trHeight w:val="1247"/>
        </w:trPr>
        <w:tc>
          <w:tcPr>
            <w:tcW w:w="3964" w:type="dxa"/>
            <w:vAlign w:val="center"/>
          </w:tcPr>
          <w:p w14:paraId="5B9AB91B" w14:textId="1F6C6B43" w:rsidR="0063767A" w:rsidRPr="00150AFC" w:rsidRDefault="0063767A" w:rsidP="008D4D25">
            <w:pPr>
              <w:widowControl w:val="0"/>
              <w:autoSpaceDE w:val="0"/>
              <w:autoSpaceDN w:val="0"/>
              <w:adjustRightInd w:val="0"/>
              <w:jc w:val="left"/>
              <w:rPr>
                <w:rFonts w:ascii="Open Sans" w:hAnsi="Open Sans" w:cs="Open Sans"/>
                <w:sz w:val="18"/>
                <w:szCs w:val="18"/>
              </w:rPr>
            </w:pPr>
            <w:r w:rsidRPr="00150AFC">
              <w:rPr>
                <w:rFonts w:ascii="Open Sans" w:hAnsi="Open Sans" w:cs="Open Sans"/>
                <w:sz w:val="18"/>
                <w:szCs w:val="18"/>
              </w:rPr>
              <w:t>Les stations-services entrant dans le réseau proposé peuvent-elles fournir le bon délivré à chaque prise de carburants (type ticket de caisse</w:t>
            </w:r>
            <w:r w:rsidR="008D4D25" w:rsidRPr="00150AFC">
              <w:rPr>
                <w:rFonts w:ascii="Open Sans" w:hAnsi="Open Sans" w:cs="Open Sans"/>
                <w:sz w:val="18"/>
                <w:szCs w:val="18"/>
              </w:rPr>
              <w:t>,</w:t>
            </w:r>
            <w:r w:rsidRPr="00150AFC">
              <w:rPr>
                <w:rFonts w:ascii="Open Sans" w:hAnsi="Open Sans" w:cs="Open Sans"/>
                <w:sz w:val="18"/>
                <w:szCs w:val="18"/>
              </w:rPr>
              <w:t xml:space="preserve"> voir page 5 du CCTP) au format dématérialisé</w:t>
            </w:r>
          </w:p>
        </w:tc>
        <w:tc>
          <w:tcPr>
            <w:tcW w:w="5380" w:type="dxa"/>
            <w:vAlign w:val="center"/>
          </w:tcPr>
          <w:p w14:paraId="59BC383E" w14:textId="77777777" w:rsidR="0063767A" w:rsidRPr="00150AFC" w:rsidRDefault="0063767A" w:rsidP="008D4D25">
            <w:pPr>
              <w:widowControl w:val="0"/>
              <w:autoSpaceDE w:val="0"/>
              <w:autoSpaceDN w:val="0"/>
              <w:adjustRightInd w:val="0"/>
              <w:jc w:val="left"/>
              <w:rPr>
                <w:rFonts w:ascii="Open Sans" w:hAnsi="Open Sans" w:cs="Open Sans"/>
                <w:sz w:val="18"/>
                <w:szCs w:val="18"/>
              </w:rPr>
            </w:pPr>
          </w:p>
        </w:tc>
      </w:tr>
    </w:tbl>
    <w:p w14:paraId="7D58ACDE" w14:textId="663C356B" w:rsidR="004800E4" w:rsidRPr="00150AFC" w:rsidRDefault="004800E4">
      <w:pPr>
        <w:rPr>
          <w:rFonts w:ascii="Open Sans" w:hAnsi="Open Sans" w:cs="Open Sans"/>
        </w:rPr>
      </w:pPr>
    </w:p>
    <w:p w14:paraId="79360975" w14:textId="05FADC55" w:rsidR="00A84839" w:rsidRPr="00150AFC" w:rsidRDefault="00A84839">
      <w:pPr>
        <w:rPr>
          <w:rFonts w:ascii="Open Sans" w:hAnsi="Open Sans" w:cs="Open Sans"/>
        </w:rPr>
      </w:pPr>
    </w:p>
    <w:p w14:paraId="40ED7D2E" w14:textId="77777777" w:rsidR="00A84839" w:rsidRPr="00150AFC" w:rsidRDefault="00A84839" w:rsidP="00A84839">
      <w:pPr>
        <w:rPr>
          <w:rFonts w:ascii="Open Sans" w:hAnsi="Open Sans" w:cs="Open Sans"/>
          <w:b/>
          <w:sz w:val="18"/>
          <w:szCs w:val="18"/>
        </w:rPr>
      </w:pPr>
      <w:r w:rsidRPr="00150AFC">
        <w:rPr>
          <w:rFonts w:ascii="Open Sans" w:hAnsi="Open Sans" w:cs="Open Sans"/>
          <w:b/>
          <w:sz w:val="18"/>
          <w:szCs w:val="18"/>
        </w:rPr>
        <w:t>Signature et cachet de la société</w:t>
      </w:r>
    </w:p>
    <w:p w14:paraId="03E35E62" w14:textId="77777777" w:rsidR="00A84839" w:rsidRPr="00150AFC" w:rsidRDefault="00A84839">
      <w:pPr>
        <w:rPr>
          <w:rFonts w:ascii="Open Sans" w:hAnsi="Open Sans" w:cs="Open Sans"/>
        </w:rPr>
      </w:pPr>
    </w:p>
    <w:sectPr w:rsidR="00A84839" w:rsidRPr="00150AFC">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04A5" w14:textId="77777777" w:rsidR="00C50DD7" w:rsidRDefault="00C50DD7">
      <w:r>
        <w:separator/>
      </w:r>
    </w:p>
  </w:endnote>
  <w:endnote w:type="continuationSeparator" w:id="0">
    <w:p w14:paraId="3AB5D8D6" w14:textId="77777777" w:rsidR="00C50DD7" w:rsidRDefault="00C5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2B272C" w14:paraId="2E77C889" w14:textId="77777777" w:rsidTr="009B0810">
      <w:trPr>
        <w:trHeight w:val="412"/>
      </w:trPr>
      <w:tc>
        <w:tcPr>
          <w:tcW w:w="1560" w:type="dxa"/>
        </w:tcPr>
        <w:p w14:paraId="06E9AF6E" w14:textId="77777777" w:rsidR="0030016A" w:rsidRPr="002B272C" w:rsidRDefault="0030016A" w:rsidP="009B0810">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4DFBC97B" w14:textId="44D72F75" w:rsidR="0030016A" w:rsidRPr="002B272C" w:rsidRDefault="0030016A" w:rsidP="00434972">
          <w:pPr>
            <w:pStyle w:val="Pieddepage"/>
            <w:rPr>
              <w:rFonts w:ascii="Century Gothic" w:hAnsi="Century Gothic"/>
            </w:rPr>
          </w:pPr>
          <w:r w:rsidRPr="002B272C">
            <w:rPr>
              <w:rFonts w:ascii="Century Gothic" w:hAnsi="Century Gothic"/>
            </w:rPr>
            <w:t>Consu</w:t>
          </w:r>
          <w:r w:rsidR="003D3F21">
            <w:rPr>
              <w:rFonts w:ascii="Century Gothic" w:hAnsi="Century Gothic"/>
            </w:rPr>
            <w:t xml:space="preserve">ltation n° </w:t>
          </w:r>
          <w:r w:rsidR="009D63B9">
            <w:rPr>
              <w:rFonts w:ascii="Century Gothic" w:hAnsi="Century Gothic"/>
            </w:rPr>
            <w:t>26</w:t>
          </w:r>
          <w:r w:rsidR="003D3F21">
            <w:rPr>
              <w:rFonts w:ascii="Century Gothic" w:hAnsi="Century Gothic"/>
            </w:rPr>
            <w:t>/00</w:t>
          </w:r>
          <w:r w:rsidR="009D63B9">
            <w:rPr>
              <w:rFonts w:ascii="Century Gothic" w:hAnsi="Century Gothic"/>
            </w:rPr>
            <w:t>6</w:t>
          </w:r>
        </w:p>
      </w:tc>
      <w:tc>
        <w:tcPr>
          <w:tcW w:w="2145" w:type="dxa"/>
        </w:tcPr>
        <w:p w14:paraId="4F6D4834" w14:textId="77777777" w:rsidR="0030016A" w:rsidRPr="002B272C" w:rsidRDefault="00C04543">
          <w:pPr>
            <w:pStyle w:val="Pieddepage"/>
            <w:rPr>
              <w:rFonts w:ascii="Century Gothic" w:hAnsi="Century Gothic"/>
              <w:color w:val="FF0000"/>
              <w:lang w:val="en-GB"/>
            </w:rPr>
          </w:pPr>
          <w:r w:rsidRPr="002B272C">
            <w:rPr>
              <w:rFonts w:ascii="Century Gothic" w:hAnsi="Century Gothic"/>
              <w:color w:val="auto"/>
              <w:lang w:val="en-GB"/>
            </w:rPr>
            <w:t>ACHAT</w:t>
          </w:r>
        </w:p>
      </w:tc>
    </w:tr>
    <w:tr w:rsidR="0030016A" w:rsidRPr="002B272C" w14:paraId="28592F5E" w14:textId="77777777" w:rsidTr="009B0810">
      <w:trPr>
        <w:trHeight w:val="282"/>
      </w:trPr>
      <w:tc>
        <w:tcPr>
          <w:tcW w:w="1560" w:type="dxa"/>
        </w:tcPr>
        <w:p w14:paraId="4454FAD9" w14:textId="21B877BC" w:rsidR="0030016A" w:rsidRDefault="00DC1570" w:rsidP="009378A5">
          <w:pPr>
            <w:pStyle w:val="Pieddepage"/>
            <w:rPr>
              <w:rFonts w:ascii="Century Gothic" w:hAnsi="Century Gothic"/>
            </w:rPr>
          </w:pPr>
          <w:r w:rsidRPr="002B272C">
            <w:rPr>
              <w:rFonts w:ascii="Century Gothic" w:hAnsi="Century Gothic"/>
            </w:rPr>
            <w:t>CCTP.</w:t>
          </w:r>
          <w:r w:rsidR="007101E4">
            <w:rPr>
              <w:rFonts w:ascii="Century Gothic" w:hAnsi="Century Gothic"/>
            </w:rPr>
            <w:t>2</w:t>
          </w:r>
        </w:p>
        <w:p w14:paraId="0B2830D3" w14:textId="2B72000F" w:rsidR="006D42ED" w:rsidRPr="002B272C" w:rsidRDefault="00F92328" w:rsidP="00F309BD">
          <w:pPr>
            <w:pStyle w:val="Pieddepage"/>
            <w:rPr>
              <w:rFonts w:ascii="Century Gothic" w:hAnsi="Century Gothic"/>
            </w:rPr>
          </w:pPr>
          <w:r>
            <w:rPr>
              <w:rFonts w:ascii="Century Gothic" w:hAnsi="Century Gothic"/>
            </w:rPr>
            <w:t>03/03/2021</w:t>
          </w:r>
        </w:p>
      </w:tc>
      <w:tc>
        <w:tcPr>
          <w:tcW w:w="5935" w:type="dxa"/>
        </w:tcPr>
        <w:p w14:paraId="1FE5C7E6" w14:textId="387A3B43" w:rsidR="0030016A" w:rsidRPr="002B272C" w:rsidRDefault="0030016A">
          <w:pPr>
            <w:pStyle w:val="Pieddepage"/>
            <w:rPr>
              <w:rFonts w:ascii="Century Gothic" w:hAnsi="Century Gothic"/>
            </w:rPr>
          </w:pPr>
          <w:r w:rsidRPr="002B272C">
            <w:rPr>
              <w:rFonts w:ascii="Century Gothic" w:hAnsi="Century Gothic"/>
            </w:rPr>
            <w:t xml:space="preserve">Dernière mise à jour du : </w:t>
          </w:r>
          <w:r w:rsidR="009D63B9">
            <w:rPr>
              <w:rFonts w:ascii="Century Gothic" w:hAnsi="Century Gothic"/>
            </w:rPr>
            <w:fldChar w:fldCharType="begin"/>
          </w:r>
          <w:r w:rsidR="009D63B9">
            <w:rPr>
              <w:rFonts w:ascii="Century Gothic" w:hAnsi="Century Gothic"/>
            </w:rPr>
            <w:instrText xml:space="preserve"> TIME \@ "dd/MM/yyyy" </w:instrText>
          </w:r>
          <w:r w:rsidR="009D63B9">
            <w:rPr>
              <w:rFonts w:ascii="Century Gothic" w:hAnsi="Century Gothic"/>
            </w:rPr>
            <w:fldChar w:fldCharType="separate"/>
          </w:r>
          <w:r w:rsidR="005C41FD">
            <w:rPr>
              <w:rFonts w:ascii="Century Gothic" w:hAnsi="Century Gothic"/>
              <w:noProof/>
            </w:rPr>
            <w:t>22/10/2025</w:t>
          </w:r>
          <w:r w:rsidR="009D63B9">
            <w:rPr>
              <w:rFonts w:ascii="Century Gothic" w:hAnsi="Century Gothic"/>
            </w:rPr>
            <w:fldChar w:fldCharType="end"/>
          </w:r>
        </w:p>
      </w:tc>
      <w:tc>
        <w:tcPr>
          <w:tcW w:w="2145" w:type="dxa"/>
        </w:tcPr>
        <w:p w14:paraId="4D3293B4" w14:textId="63FDB1DD" w:rsidR="0030016A" w:rsidRPr="002B272C" w:rsidRDefault="0030016A">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sidR="005D747C">
            <w:rPr>
              <w:rFonts w:ascii="Century Gothic" w:hAnsi="Century Gothic"/>
              <w:noProof/>
            </w:rPr>
            <w:t>9</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sidR="005D747C">
            <w:rPr>
              <w:rStyle w:val="Numrodepage"/>
              <w:rFonts w:ascii="Century Gothic" w:hAnsi="Century Gothic"/>
              <w:noProof/>
            </w:rPr>
            <w:t>10</w:t>
          </w:r>
          <w:r w:rsidRPr="002B272C">
            <w:rPr>
              <w:rStyle w:val="Numrodepage"/>
              <w:rFonts w:ascii="Century Gothic" w:hAnsi="Century Gothic"/>
            </w:rPr>
            <w:fldChar w:fldCharType="end"/>
          </w:r>
        </w:p>
      </w:tc>
    </w:tr>
  </w:tbl>
  <w:p w14:paraId="007AEDDD" w14:textId="77777777" w:rsidR="0030016A" w:rsidRDefault="0030016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2B661" w14:textId="77777777" w:rsidR="00C50DD7" w:rsidRDefault="00C50DD7">
      <w:r>
        <w:separator/>
      </w:r>
    </w:p>
  </w:footnote>
  <w:footnote w:type="continuationSeparator" w:id="0">
    <w:p w14:paraId="23B76B9D" w14:textId="77777777" w:rsidR="00C50DD7" w:rsidRDefault="00C50D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450F"/>
    <w:multiLevelType w:val="hybridMultilevel"/>
    <w:tmpl w:val="6D0A8FAC"/>
    <w:lvl w:ilvl="0" w:tplc="42BC952E">
      <w:start w:val="1"/>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EB45F3"/>
    <w:multiLevelType w:val="hybridMultilevel"/>
    <w:tmpl w:val="F606FC1C"/>
    <w:lvl w:ilvl="0" w:tplc="FFFFFFFF">
      <w:start w:val="1"/>
      <w:numFmt w:val="bullet"/>
      <w:lvlText w:val=""/>
      <w:lvlJc w:val="left"/>
      <w:pPr>
        <w:tabs>
          <w:tab w:val="num" w:pos="1428"/>
        </w:tabs>
        <w:ind w:left="1428" w:hanging="360"/>
      </w:pPr>
      <w:rPr>
        <w:rFonts w:ascii="Symbol" w:hAnsi="Symbol" w:hint="default"/>
      </w:rPr>
    </w:lvl>
    <w:lvl w:ilvl="1" w:tplc="FFFFFFFF">
      <w:start w:val="1"/>
      <w:numFmt w:val="bullet"/>
      <w:lvlText w:val=""/>
      <w:lvlJc w:val="left"/>
      <w:pPr>
        <w:tabs>
          <w:tab w:val="num" w:pos="2148"/>
        </w:tabs>
        <w:ind w:left="2148" w:hanging="360"/>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0DE37AB0"/>
    <w:multiLevelType w:val="multilevel"/>
    <w:tmpl w:val="3A788F88"/>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1117446D"/>
    <w:multiLevelType w:val="hybridMultilevel"/>
    <w:tmpl w:val="B32AFF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832AE9"/>
    <w:multiLevelType w:val="hybridMultilevel"/>
    <w:tmpl w:val="CCA2D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663ED3"/>
    <w:multiLevelType w:val="hybridMultilevel"/>
    <w:tmpl w:val="D674E0E4"/>
    <w:lvl w:ilvl="0" w:tplc="A12EC994">
      <w:start w:val="14"/>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1F4C22"/>
    <w:multiLevelType w:val="hybridMultilevel"/>
    <w:tmpl w:val="E228A2D6"/>
    <w:lvl w:ilvl="0" w:tplc="E88E46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201E7D"/>
    <w:multiLevelType w:val="hybridMultilevel"/>
    <w:tmpl w:val="C18A53A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E50ED9"/>
    <w:multiLevelType w:val="hybridMultilevel"/>
    <w:tmpl w:val="7E888F46"/>
    <w:lvl w:ilvl="0" w:tplc="17905258">
      <w:start w:val="1"/>
      <w:numFmt w:val="decimal"/>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6A452F9D"/>
    <w:multiLevelType w:val="hybridMultilevel"/>
    <w:tmpl w:val="B3A8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233CF5"/>
    <w:multiLevelType w:val="hybridMultilevel"/>
    <w:tmpl w:val="A6E2D020"/>
    <w:lvl w:ilvl="0" w:tplc="FFFFFFFF">
      <w:start w:val="1"/>
      <w:numFmt w:val="bullet"/>
      <w:lvlText w:val=""/>
      <w:lvlJc w:val="left"/>
      <w:pPr>
        <w:tabs>
          <w:tab w:val="num" w:pos="1428"/>
        </w:tabs>
        <w:ind w:left="1428" w:hanging="360"/>
      </w:pPr>
      <w:rPr>
        <w:rFonts w:ascii="Symbol" w:hAnsi="Symbol" w:hint="default"/>
      </w:rPr>
    </w:lvl>
    <w:lvl w:ilvl="1" w:tplc="FFFFFFFF">
      <w:start w:val="1"/>
      <w:numFmt w:val="bullet"/>
      <w:lvlText w:val=""/>
      <w:lvlJc w:val="left"/>
      <w:pPr>
        <w:tabs>
          <w:tab w:val="num" w:pos="2148"/>
        </w:tabs>
        <w:ind w:left="2148" w:hanging="360"/>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76C12583"/>
    <w:multiLevelType w:val="hybridMultilevel"/>
    <w:tmpl w:val="687E002A"/>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2"/>
  </w:num>
  <w:num w:numId="2">
    <w:abstractNumId w:val="1"/>
  </w:num>
  <w:num w:numId="3">
    <w:abstractNumId w:val="10"/>
  </w:num>
  <w:num w:numId="4">
    <w:abstractNumId w:val="9"/>
  </w:num>
  <w:num w:numId="5">
    <w:abstractNumId w:val="4"/>
  </w:num>
  <w:num w:numId="6">
    <w:abstractNumId w:val="5"/>
  </w:num>
  <w:num w:numId="7">
    <w:abstractNumId w:val="6"/>
  </w:num>
  <w:num w:numId="8">
    <w:abstractNumId w:val="0"/>
  </w:num>
  <w:num w:numId="9">
    <w:abstractNumId w:val="11"/>
  </w:num>
  <w:num w:numId="10">
    <w:abstractNumId w:val="8"/>
  </w:num>
  <w:num w:numId="11">
    <w:abstractNumId w:val="7"/>
  </w:num>
  <w:num w:numId="12">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200DD"/>
    <w:rsid w:val="00021811"/>
    <w:rsid w:val="00036818"/>
    <w:rsid w:val="000408BD"/>
    <w:rsid w:val="000431D6"/>
    <w:rsid w:val="000531DF"/>
    <w:rsid w:val="00053583"/>
    <w:rsid w:val="0007170B"/>
    <w:rsid w:val="000736D2"/>
    <w:rsid w:val="000757DC"/>
    <w:rsid w:val="00084BD4"/>
    <w:rsid w:val="000B1D58"/>
    <w:rsid w:val="000E4C95"/>
    <w:rsid w:val="00102701"/>
    <w:rsid w:val="001132B6"/>
    <w:rsid w:val="00113D8F"/>
    <w:rsid w:val="0011561B"/>
    <w:rsid w:val="001418D9"/>
    <w:rsid w:val="00150AFC"/>
    <w:rsid w:val="001659BD"/>
    <w:rsid w:val="00171321"/>
    <w:rsid w:val="001B660A"/>
    <w:rsid w:val="001C119C"/>
    <w:rsid w:val="001D727B"/>
    <w:rsid w:val="001F65DF"/>
    <w:rsid w:val="0020071A"/>
    <w:rsid w:val="00210D35"/>
    <w:rsid w:val="00227BDB"/>
    <w:rsid w:val="00235C78"/>
    <w:rsid w:val="00237922"/>
    <w:rsid w:val="00280955"/>
    <w:rsid w:val="00284CBC"/>
    <w:rsid w:val="002B272C"/>
    <w:rsid w:val="002B463A"/>
    <w:rsid w:val="002B6A6A"/>
    <w:rsid w:val="0030016A"/>
    <w:rsid w:val="00317C34"/>
    <w:rsid w:val="00355387"/>
    <w:rsid w:val="00374FD9"/>
    <w:rsid w:val="00376859"/>
    <w:rsid w:val="00381FB2"/>
    <w:rsid w:val="00382C49"/>
    <w:rsid w:val="003A4684"/>
    <w:rsid w:val="003B3A2E"/>
    <w:rsid w:val="003C046D"/>
    <w:rsid w:val="003D3F21"/>
    <w:rsid w:val="003D514D"/>
    <w:rsid w:val="003F7F15"/>
    <w:rsid w:val="00434972"/>
    <w:rsid w:val="00435A99"/>
    <w:rsid w:val="00445A00"/>
    <w:rsid w:val="00451F55"/>
    <w:rsid w:val="0045289B"/>
    <w:rsid w:val="00455DEC"/>
    <w:rsid w:val="0047604D"/>
    <w:rsid w:val="004800E4"/>
    <w:rsid w:val="00483483"/>
    <w:rsid w:val="00490000"/>
    <w:rsid w:val="004938DF"/>
    <w:rsid w:val="004C0C1F"/>
    <w:rsid w:val="004C11D6"/>
    <w:rsid w:val="00501AF2"/>
    <w:rsid w:val="00505F26"/>
    <w:rsid w:val="00515114"/>
    <w:rsid w:val="005621FB"/>
    <w:rsid w:val="0056306C"/>
    <w:rsid w:val="00575429"/>
    <w:rsid w:val="0058347A"/>
    <w:rsid w:val="00597C82"/>
    <w:rsid w:val="005B6FB8"/>
    <w:rsid w:val="005B7837"/>
    <w:rsid w:val="005C41FD"/>
    <w:rsid w:val="005D747C"/>
    <w:rsid w:val="00600370"/>
    <w:rsid w:val="0060742D"/>
    <w:rsid w:val="00607FC7"/>
    <w:rsid w:val="00616D62"/>
    <w:rsid w:val="0063767A"/>
    <w:rsid w:val="00637B12"/>
    <w:rsid w:val="00696406"/>
    <w:rsid w:val="00697CB7"/>
    <w:rsid w:val="006C1993"/>
    <w:rsid w:val="006C19D0"/>
    <w:rsid w:val="006C4208"/>
    <w:rsid w:val="006D42ED"/>
    <w:rsid w:val="006D6EFB"/>
    <w:rsid w:val="00706C10"/>
    <w:rsid w:val="007101E4"/>
    <w:rsid w:val="007221ED"/>
    <w:rsid w:val="007257E8"/>
    <w:rsid w:val="00751E7E"/>
    <w:rsid w:val="0079292A"/>
    <w:rsid w:val="00796416"/>
    <w:rsid w:val="007B7A69"/>
    <w:rsid w:val="007C5358"/>
    <w:rsid w:val="007E113C"/>
    <w:rsid w:val="007F0121"/>
    <w:rsid w:val="007F642F"/>
    <w:rsid w:val="00804E44"/>
    <w:rsid w:val="00827E57"/>
    <w:rsid w:val="00844AEB"/>
    <w:rsid w:val="00845DB0"/>
    <w:rsid w:val="00853201"/>
    <w:rsid w:val="00864E31"/>
    <w:rsid w:val="00896EF0"/>
    <w:rsid w:val="008A101F"/>
    <w:rsid w:val="008D4D25"/>
    <w:rsid w:val="00914CF2"/>
    <w:rsid w:val="009378A5"/>
    <w:rsid w:val="00947DEE"/>
    <w:rsid w:val="009516BB"/>
    <w:rsid w:val="00975FCD"/>
    <w:rsid w:val="00990D5A"/>
    <w:rsid w:val="00992625"/>
    <w:rsid w:val="009B0810"/>
    <w:rsid w:val="009C2EB3"/>
    <w:rsid w:val="009D436D"/>
    <w:rsid w:val="009D63B9"/>
    <w:rsid w:val="009F73F1"/>
    <w:rsid w:val="00A06B4E"/>
    <w:rsid w:val="00A1573F"/>
    <w:rsid w:val="00A20E12"/>
    <w:rsid w:val="00A63F6A"/>
    <w:rsid w:val="00A64039"/>
    <w:rsid w:val="00A745E0"/>
    <w:rsid w:val="00A77326"/>
    <w:rsid w:val="00A83E9C"/>
    <w:rsid w:val="00A84839"/>
    <w:rsid w:val="00AA3DDF"/>
    <w:rsid w:val="00AD0135"/>
    <w:rsid w:val="00B07F24"/>
    <w:rsid w:val="00B156B0"/>
    <w:rsid w:val="00B24503"/>
    <w:rsid w:val="00B32EA3"/>
    <w:rsid w:val="00B34224"/>
    <w:rsid w:val="00B41289"/>
    <w:rsid w:val="00B63EAC"/>
    <w:rsid w:val="00B92757"/>
    <w:rsid w:val="00B960C9"/>
    <w:rsid w:val="00B96920"/>
    <w:rsid w:val="00B975D1"/>
    <w:rsid w:val="00BC4336"/>
    <w:rsid w:val="00BC7BB1"/>
    <w:rsid w:val="00BD0A24"/>
    <w:rsid w:val="00BD13C0"/>
    <w:rsid w:val="00BD230F"/>
    <w:rsid w:val="00C04543"/>
    <w:rsid w:val="00C370F3"/>
    <w:rsid w:val="00C50DD7"/>
    <w:rsid w:val="00C71AFC"/>
    <w:rsid w:val="00C80E36"/>
    <w:rsid w:val="00C934D6"/>
    <w:rsid w:val="00CB6CEA"/>
    <w:rsid w:val="00CD0DA0"/>
    <w:rsid w:val="00CF3A02"/>
    <w:rsid w:val="00CF7D50"/>
    <w:rsid w:val="00D02B9C"/>
    <w:rsid w:val="00D176BC"/>
    <w:rsid w:val="00D3120E"/>
    <w:rsid w:val="00D35DA4"/>
    <w:rsid w:val="00D504AE"/>
    <w:rsid w:val="00D60813"/>
    <w:rsid w:val="00D918AA"/>
    <w:rsid w:val="00DC1570"/>
    <w:rsid w:val="00DF159E"/>
    <w:rsid w:val="00E42FE0"/>
    <w:rsid w:val="00E649C8"/>
    <w:rsid w:val="00EB1D5F"/>
    <w:rsid w:val="00EC294D"/>
    <w:rsid w:val="00EC6261"/>
    <w:rsid w:val="00F15D9B"/>
    <w:rsid w:val="00F309BD"/>
    <w:rsid w:val="00F64020"/>
    <w:rsid w:val="00F92328"/>
    <w:rsid w:val="00F9569E"/>
    <w:rsid w:val="00FB5F38"/>
    <w:rsid w:val="00FC0C6F"/>
    <w:rsid w:val="00FE74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8D4D25"/>
    <w:pPr>
      <w:keepNext/>
      <w:spacing w:after="375"/>
      <w:jc w:val="center"/>
      <w:outlineLvl w:val="0"/>
    </w:pPr>
    <w:rPr>
      <w:rFonts w:ascii="Open Sans" w:hAnsi="Open Sans" w:cs="Open Sans"/>
      <w:sz w:val="28"/>
      <w:szCs w:val="28"/>
    </w:rPr>
  </w:style>
  <w:style w:type="paragraph" w:styleId="Titre2">
    <w:name w:val="heading 2"/>
    <w:basedOn w:val="Titre1"/>
    <w:next w:val="Normal"/>
    <w:autoRedefine/>
    <w:qFormat/>
    <w:rsid w:val="00D3120E"/>
    <w:pPr>
      <w:spacing w:before="240"/>
      <w:jc w:val="left"/>
      <w:outlineLvl w:val="1"/>
    </w:pPr>
    <w:rPr>
      <w:rFonts w:ascii="Times New Roman" w:hAnsi="Times New Roman"/>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semiHidden/>
    <w:pPr>
      <w:ind w:left="400"/>
    </w:pPr>
  </w:style>
  <w:style w:type="paragraph" w:customStyle="1" w:styleId="Style1">
    <w:name w:val="Style1"/>
    <w:basedOn w:val="Normal"/>
    <w:autoRedefine/>
    <w:rsid w:val="009F73F1"/>
    <w:pPr>
      <w:spacing w:line="360" w:lineRule="auto"/>
      <w:jc w:val="center"/>
    </w:pPr>
    <w:rPr>
      <w:rFonts w:ascii="Open Sans" w:hAnsi="Open Sans" w:cs="Open Sans"/>
      <w:b/>
      <w:sz w:val="28"/>
      <w:szCs w:val="28"/>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Normal"/>
    <w:uiPriority w:val="34"/>
    <w:qFormat/>
    <w:rsid w:val="00CF7D50"/>
    <w:pPr>
      <w:ind w:left="720"/>
      <w:contextualSpacing/>
    </w:pPr>
  </w:style>
  <w:style w:type="table" w:styleId="Grilledutableau">
    <w:name w:val="Table Grid"/>
    <w:basedOn w:val="TableauNormal"/>
    <w:rsid w:val="00113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89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6E80D-DEF5-4CB5-AF6F-685B33D34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870</TotalTime>
  <Pages>10</Pages>
  <Words>2064</Words>
  <Characters>11833</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SECK Cheikh ousmane</cp:lastModifiedBy>
  <cp:revision>66</cp:revision>
  <cp:lastPrinted>2025-10-16T09:41:00Z</cp:lastPrinted>
  <dcterms:created xsi:type="dcterms:W3CDTF">2021-03-13T17:08:00Z</dcterms:created>
  <dcterms:modified xsi:type="dcterms:W3CDTF">2025-10-22T08:43:00Z</dcterms:modified>
</cp:coreProperties>
</file>